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4132"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4F46D083"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6ABA1804"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003836E9" w14:textId="77777777" w:rsidR="0008530B" w:rsidRPr="0008530B" w:rsidRDefault="0008530B" w:rsidP="00260F3A">
      <w:pPr>
        <w:autoSpaceDE w:val="0"/>
        <w:autoSpaceDN w:val="0"/>
        <w:adjustRightInd w:val="0"/>
        <w:spacing w:after="120" w:line="240" w:lineRule="auto"/>
        <w:ind w:left="7200"/>
        <w:contextualSpacing/>
        <w:rPr>
          <w:rFonts w:ascii="Calibri" w:hAnsi="Calibri" w:cstheme="minorHAnsi"/>
          <w:sz w:val="20"/>
          <w:szCs w:val="20"/>
        </w:rPr>
      </w:pPr>
      <w:r>
        <w:rPr>
          <w:rFonts w:ascii="Calibri" w:hAnsi="Calibri" w:cstheme="minorHAnsi"/>
          <w:noProof/>
          <w:sz w:val="20"/>
          <w:szCs w:val="20"/>
        </w:rPr>
        <w:drawing>
          <wp:inline distT="0" distB="0" distL="0" distR="0" wp14:anchorId="5777FCD7" wp14:editId="312BA24B">
            <wp:extent cx="2215539" cy="400174"/>
            <wp:effectExtent l="0" t="0" r="0" b="0"/>
            <wp:docPr id="1" name="Picture 1" descr="\\10.94.135.11\AgencyServer\LOGOS PHOTOS\LOGOS_PRODUCT_IMAGES\Lupron\lupron_logos\Lupron Ped logo 2014\LupDpt_PED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4.135.11\AgencyServer\LOGOS PHOTOS\LOGOS_PRODUCT_IMAGES\Lupron\lupron_logos\Lupron Ped logo 2014\LupDpt_PED_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5400" cy="400149"/>
                    </a:xfrm>
                    <a:prstGeom prst="rect">
                      <a:avLst/>
                    </a:prstGeom>
                    <a:noFill/>
                    <a:ln>
                      <a:noFill/>
                    </a:ln>
                  </pic:spPr>
                </pic:pic>
              </a:graphicData>
            </a:graphic>
          </wp:inline>
        </w:drawing>
      </w:r>
    </w:p>
    <w:p w14:paraId="079F39E0"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027C06D2"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6B1E49DE"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0404C551" w14:textId="77777777"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14:paraId="461254B8" w14:textId="77777777" w:rsidR="00B20AB0" w:rsidRPr="0008530B" w:rsidRDefault="00B20AB0" w:rsidP="00260F3A">
      <w:pPr>
        <w:autoSpaceDE w:val="0"/>
        <w:autoSpaceDN w:val="0"/>
        <w:adjustRightInd w:val="0"/>
        <w:spacing w:after="120" w:line="240" w:lineRule="auto"/>
        <w:contextualSpacing/>
        <w:rPr>
          <w:rFonts w:ascii="Calibri" w:hAnsi="Calibri" w:cstheme="minorHAnsi"/>
          <w:sz w:val="20"/>
          <w:szCs w:val="20"/>
        </w:rPr>
      </w:pPr>
    </w:p>
    <w:p w14:paraId="4848FBB2" w14:textId="77777777" w:rsidR="00B20AB0" w:rsidRPr="0008530B" w:rsidRDefault="00B20AB0" w:rsidP="00260F3A">
      <w:pPr>
        <w:autoSpaceDE w:val="0"/>
        <w:autoSpaceDN w:val="0"/>
        <w:adjustRightInd w:val="0"/>
        <w:spacing w:after="120" w:line="240" w:lineRule="auto"/>
        <w:contextualSpacing/>
        <w:rPr>
          <w:rFonts w:ascii="Calibri" w:hAnsi="Calibri" w:cstheme="minorHAnsi"/>
          <w:sz w:val="20"/>
          <w:szCs w:val="20"/>
        </w:rPr>
      </w:pPr>
    </w:p>
    <w:p w14:paraId="32ECC83C" w14:textId="77777777" w:rsidR="00B20AB0" w:rsidRPr="004B093B" w:rsidRDefault="00B20AB0" w:rsidP="00260F3A">
      <w:pPr>
        <w:autoSpaceDE w:val="0"/>
        <w:autoSpaceDN w:val="0"/>
        <w:adjustRightInd w:val="0"/>
        <w:spacing w:after="120" w:line="240" w:lineRule="auto"/>
        <w:contextualSpacing/>
        <w:rPr>
          <w:rFonts w:ascii="Calibri" w:hAnsi="Calibri" w:cstheme="minorHAnsi"/>
        </w:rPr>
      </w:pPr>
    </w:p>
    <w:p w14:paraId="40CA8734" w14:textId="77777777" w:rsidR="00940A18" w:rsidRPr="004B093B" w:rsidRDefault="0008530B" w:rsidP="00260F3A">
      <w:pPr>
        <w:spacing w:after="120" w:line="240" w:lineRule="auto"/>
        <w:contextualSpacing/>
        <w:outlineLvl w:val="1"/>
        <w:rPr>
          <w:rFonts w:ascii="Calibri" w:eastAsia="Times New Roman" w:hAnsi="Calibri" w:cs="Arial"/>
          <w:b/>
          <w:color w:val="4A4A4A"/>
          <w:sz w:val="24"/>
          <w:szCs w:val="24"/>
          <w:lang w:val="en"/>
        </w:rPr>
      </w:pPr>
      <w:r w:rsidRPr="004B093B">
        <w:rPr>
          <w:rFonts w:ascii="Calibri" w:eastAsia="Times New Roman" w:hAnsi="Calibri" w:cs="Arial"/>
          <w:b/>
          <w:color w:val="4A4A4A"/>
          <w:sz w:val="24"/>
          <w:szCs w:val="24"/>
          <w:lang w:val="en"/>
        </w:rPr>
        <w:t>Medical Necessity Letter</w:t>
      </w:r>
    </w:p>
    <w:p w14:paraId="34B1B4D3" w14:textId="1E339746" w:rsidR="00940A18" w:rsidRDefault="00940A18" w:rsidP="00260F3A">
      <w:pPr>
        <w:spacing w:after="120" w:line="240" w:lineRule="auto"/>
        <w:ind w:right="2070"/>
        <w:contextualSpacing/>
        <w:rPr>
          <w:rFonts w:ascii="Calibri" w:eastAsia="Times New Roman" w:hAnsi="Calibri" w:cs="Arial"/>
          <w:color w:val="4A4A4A"/>
          <w:lang w:val="en"/>
        </w:rPr>
      </w:pPr>
      <w:r w:rsidRPr="004B093B">
        <w:rPr>
          <w:rFonts w:ascii="Calibri" w:eastAsia="Times New Roman" w:hAnsi="Calibri" w:cs="Arial"/>
          <w:color w:val="4A4A4A"/>
          <w:lang w:val="en"/>
        </w:rPr>
        <w:t>The guidance presented here is for informational purposes only and is not intended to provide reimbursement or legal advice. AbbVie does not guarantee that the use of any information provided will result in coverage or payment by any third-party payer. You are responsible for the submission based on your clinical judgment.</w:t>
      </w:r>
    </w:p>
    <w:p w14:paraId="18E17781"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7E7AAA84"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04DC508B"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1A3848D4"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7024EB4C"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30BD6AC8"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066442DB" w14:textId="77777777" w:rsidR="002C6F5A" w:rsidRDefault="002C6F5A" w:rsidP="00260F3A">
      <w:pPr>
        <w:spacing w:after="120" w:line="240" w:lineRule="auto"/>
        <w:ind w:right="2070"/>
        <w:contextualSpacing/>
        <w:rPr>
          <w:rFonts w:ascii="Calibri" w:hAnsi="Calibri" w:cs="Calibri"/>
          <w:b/>
          <w:bCs/>
          <w:color w:val="000000"/>
          <w:sz w:val="18"/>
          <w:szCs w:val="18"/>
        </w:rPr>
      </w:pPr>
    </w:p>
    <w:p w14:paraId="3153FDE2"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67BB09FE"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4B18AE34"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5DF26B1"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00C3001"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2F2F58DE"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9E61D2F"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273F77BB"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CE165B6"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44B5DEF2"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1E4028F6"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51BFF6BD"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7AE2548"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20C96B3C"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630E7BF"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66DDD3D3"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D0E33A9"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66368F9A"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B38D25C"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5413A942"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2EAA3FD"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1B3F39E8"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2376D5DC"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45971DB2"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2B385304"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17CC4BEA"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D4E5B95"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5879E28D"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15803E1B"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3E6B0E47"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6C1585BB"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0608A41C"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6D68785C"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C76B2E7"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3342D80B" w14:textId="77777777" w:rsidR="002C6F5A" w:rsidRDefault="002C6F5A" w:rsidP="002C6F5A">
      <w:pPr>
        <w:spacing w:after="120" w:line="240" w:lineRule="auto"/>
        <w:ind w:right="2070"/>
        <w:contextualSpacing/>
        <w:rPr>
          <w:rFonts w:ascii="Calibri" w:hAnsi="Calibri" w:cs="Calibri"/>
          <w:b/>
          <w:bCs/>
          <w:color w:val="000000"/>
          <w:sz w:val="18"/>
          <w:szCs w:val="18"/>
        </w:rPr>
      </w:pPr>
    </w:p>
    <w:p w14:paraId="7DA3E42D" w14:textId="77777777" w:rsidR="0008530B" w:rsidRPr="004B093B" w:rsidRDefault="0008530B"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br w:type="page"/>
      </w:r>
    </w:p>
    <w:p w14:paraId="6327B6B4" w14:textId="77777777" w:rsidR="004D0F66" w:rsidRDefault="004D0F66" w:rsidP="004D0F66">
      <w:pPr>
        <w:pStyle w:val="BasicParagraph"/>
        <w:spacing w:after="90"/>
        <w:rPr>
          <w:rFonts w:ascii="Calibri" w:hAnsi="Calibri" w:cs="Calibri"/>
          <w:sz w:val="20"/>
          <w:szCs w:val="20"/>
        </w:rPr>
      </w:pPr>
      <w:r>
        <w:rPr>
          <w:rFonts w:ascii="Calibri" w:hAnsi="Calibri" w:cs="Calibri"/>
          <w:b/>
          <w:bCs/>
          <w:caps/>
          <w:sz w:val="20"/>
          <w:szCs w:val="20"/>
        </w:rPr>
        <w:lastRenderedPageBreak/>
        <w:t>Indication</w:t>
      </w:r>
      <w:r>
        <w:rPr>
          <w:rFonts w:ascii="Calibri" w:hAnsi="Calibri" w:cs="Calibri"/>
          <w:b/>
          <w:bCs/>
          <w:sz w:val="20"/>
          <w:szCs w:val="20"/>
          <w:vertAlign w:val="superscript"/>
        </w:rPr>
        <w:t>1</w:t>
      </w:r>
    </w:p>
    <w:p w14:paraId="0598FBCC" w14:textId="77777777" w:rsidR="004D0F66" w:rsidRDefault="004D0F66" w:rsidP="004D0F66">
      <w:pPr>
        <w:pStyle w:val="ISIsubhead"/>
        <w:spacing w:after="43"/>
        <w:rPr>
          <w:rFonts w:ascii="Calibri" w:hAnsi="Calibri" w:cs="Calibri"/>
          <w:b w:val="0"/>
          <w:bCs w:val="0"/>
        </w:rPr>
      </w:pPr>
      <w:r>
        <w:rPr>
          <w:rFonts w:ascii="Calibri" w:hAnsi="Calibri" w:cs="Calibri"/>
        </w:rPr>
        <w:t>Central Precocious Puberty</w:t>
      </w:r>
    </w:p>
    <w:p w14:paraId="590083DF" w14:textId="504670FB" w:rsidR="004D0F66" w:rsidRDefault="004D0F66" w:rsidP="004D0F66">
      <w:pPr>
        <w:pStyle w:val="ISIsubhead"/>
        <w:spacing w:after="0"/>
        <w:rPr>
          <w:rFonts w:ascii="Calibri" w:hAnsi="Calibri" w:cs="Calibri"/>
          <w:b w:val="0"/>
          <w:bCs w:val="0"/>
        </w:rPr>
      </w:pPr>
      <w:r>
        <w:rPr>
          <w:rFonts w:ascii="Calibri" w:hAnsi="Calibri" w:cs="Calibri"/>
          <w:b w:val="0"/>
          <w:bCs w:val="0"/>
        </w:rPr>
        <w:t xml:space="preserve">LUPRON DEPOT-PED® (leuprolide acetate for depot suspension) 7.5 mg, 11.25 mg, and 15 mg for 1-month and 11.25 mg and 30 mg for 3-month administration are indicated for the treatment of pediatric patients with central precocious puberty (CPP). </w:t>
      </w:r>
    </w:p>
    <w:p w14:paraId="03CFD5C9" w14:textId="77777777" w:rsidR="004D0F66" w:rsidRDefault="004D0F66" w:rsidP="004D0F66">
      <w:pPr>
        <w:pStyle w:val="ISIBody"/>
        <w:rPr>
          <w:rFonts w:ascii="Calibri" w:hAnsi="Calibri" w:cs="Calibri"/>
        </w:rPr>
      </w:pPr>
    </w:p>
    <w:p w14:paraId="57493657" w14:textId="77777777" w:rsidR="004D0F66" w:rsidRDefault="004D0F66" w:rsidP="004D0F66">
      <w:pPr>
        <w:pStyle w:val="BasicParagraph"/>
        <w:spacing w:after="90"/>
        <w:rPr>
          <w:rFonts w:ascii="Calibri" w:hAnsi="Calibri" w:cs="Calibri"/>
          <w:color w:val="2165FF"/>
          <w:sz w:val="20"/>
          <w:szCs w:val="20"/>
        </w:rPr>
      </w:pPr>
      <w:r>
        <w:rPr>
          <w:rFonts w:ascii="Calibri" w:hAnsi="Calibri" w:cs="Calibri"/>
          <w:b/>
          <w:bCs/>
          <w:caps/>
          <w:sz w:val="20"/>
          <w:szCs w:val="20"/>
        </w:rPr>
        <w:t>Important Safety Information</w:t>
      </w:r>
      <w:r>
        <w:rPr>
          <w:rFonts w:ascii="Calibri" w:hAnsi="Calibri" w:cs="Calibri"/>
          <w:b/>
          <w:bCs/>
          <w:sz w:val="20"/>
          <w:szCs w:val="20"/>
          <w:vertAlign w:val="superscript"/>
        </w:rPr>
        <w:t>1</w:t>
      </w:r>
    </w:p>
    <w:p w14:paraId="2EB69BE5" w14:textId="77777777" w:rsidR="004D0F66" w:rsidRPr="00651DAA" w:rsidRDefault="004D0F66" w:rsidP="004D0F66">
      <w:pPr>
        <w:pStyle w:val="ISIsubhead"/>
        <w:rPr>
          <w:rFonts w:ascii="Calibri" w:hAnsi="Calibri" w:cs="Calibri"/>
        </w:rPr>
      </w:pPr>
      <w:r w:rsidRPr="00651DAA">
        <w:rPr>
          <w:rFonts w:ascii="Calibri" w:hAnsi="Calibri" w:cs="Calibri"/>
        </w:rPr>
        <w:t>CONTRAINDICATIONS</w:t>
      </w:r>
    </w:p>
    <w:p w14:paraId="2E87766F" w14:textId="77777777" w:rsidR="004D0F66" w:rsidRDefault="004D0F66" w:rsidP="004D0F66">
      <w:pPr>
        <w:pStyle w:val="IsiBullet"/>
        <w:rPr>
          <w:rFonts w:ascii="Calibri" w:hAnsi="Calibri" w:cs="Calibri"/>
        </w:rPr>
      </w:pPr>
      <w:r>
        <w:rPr>
          <w:rFonts w:ascii="Calibri" w:hAnsi="Calibri" w:cs="Calibri"/>
        </w:rPr>
        <w:t>•</w:t>
      </w:r>
      <w:r>
        <w:rPr>
          <w:rFonts w:ascii="Calibri" w:hAnsi="Calibri" w:cs="Calibri"/>
        </w:rPr>
        <w:tab/>
        <w:t>Hypersensitivity to gonadotropin releasing hormone (GnRH), GnRH agonists, or any of the excipients in LUPRON DEPOT-PED. Anaphylactic reactions to synthetic GnRH or GnRH agonists have been reported.</w:t>
      </w:r>
    </w:p>
    <w:p w14:paraId="1DD75CCA" w14:textId="77777777" w:rsidR="004D0F66" w:rsidRDefault="004D0F66" w:rsidP="004D0F66">
      <w:pPr>
        <w:pStyle w:val="IsiBullet"/>
        <w:spacing w:after="180"/>
        <w:rPr>
          <w:rFonts w:ascii="Calibri" w:hAnsi="Calibri" w:cs="Calibri"/>
        </w:rPr>
      </w:pPr>
      <w:r>
        <w:rPr>
          <w:rFonts w:ascii="Calibri" w:hAnsi="Calibri" w:cs="Calibri"/>
        </w:rPr>
        <w:t>•</w:t>
      </w:r>
      <w:r>
        <w:rPr>
          <w:rFonts w:ascii="Calibri" w:hAnsi="Calibri" w:cs="Calibri"/>
        </w:rPr>
        <w:tab/>
        <w:t>Pregnancy: LUPRON DEPOT-PED may cause fetal harm.</w:t>
      </w:r>
    </w:p>
    <w:p w14:paraId="6A0F6A67" w14:textId="77777777" w:rsidR="004D0F66" w:rsidRPr="00651DAA" w:rsidRDefault="004D0F66" w:rsidP="004D0F66">
      <w:pPr>
        <w:pStyle w:val="ISIsubhead"/>
        <w:rPr>
          <w:rFonts w:ascii="Calibri" w:hAnsi="Calibri" w:cs="Calibri"/>
        </w:rPr>
      </w:pPr>
      <w:r w:rsidRPr="00651DAA">
        <w:rPr>
          <w:rFonts w:ascii="Calibri" w:hAnsi="Calibri" w:cs="Calibri"/>
        </w:rPr>
        <w:t>WARNINGS AND PRECAUTIONS</w:t>
      </w:r>
    </w:p>
    <w:p w14:paraId="6C71D405" w14:textId="77777777" w:rsidR="004D0F66" w:rsidRPr="00A71B45" w:rsidRDefault="004D0F66" w:rsidP="004D0F66">
      <w:pPr>
        <w:pStyle w:val="ISIsubhead"/>
        <w:rPr>
          <w:rFonts w:ascii="Calibri" w:hAnsi="Calibri" w:cs="Calibri"/>
        </w:rPr>
      </w:pPr>
      <w:r w:rsidRPr="00A71B45">
        <w:rPr>
          <w:rFonts w:ascii="Calibri" w:hAnsi="Calibri" w:cs="Calibri"/>
        </w:rPr>
        <w:t>Initial Rise of Gonadotropins and Sex Steroid Levels</w:t>
      </w:r>
    </w:p>
    <w:p w14:paraId="65DFC584" w14:textId="396931E3" w:rsidR="004D0F66" w:rsidRDefault="004D0F66" w:rsidP="004D0F66">
      <w:pPr>
        <w:pStyle w:val="IsiBullet"/>
        <w:rPr>
          <w:rFonts w:ascii="Calibri" w:hAnsi="Calibri" w:cs="Calibri"/>
        </w:rPr>
      </w:pPr>
      <w:r>
        <w:rPr>
          <w:rFonts w:ascii="Calibri" w:hAnsi="Calibri" w:cs="Calibri"/>
        </w:rPr>
        <w:t>•</w:t>
      </w:r>
      <w:r>
        <w:rPr>
          <w:rFonts w:ascii="Calibri" w:hAnsi="Calibri" w:cs="Calibri"/>
        </w:rPr>
        <w:tab/>
        <w:t>During the early phase of therapy, gonadotropins and sex steroids may rise above baseline because of the initial stimulatory effect of the drug. Therefore, an increase in clinical signs and symptoms of puberty, including vaginal bleeding, may be observed during the first weeks of therapy or after subsequent doses.</w:t>
      </w:r>
    </w:p>
    <w:p w14:paraId="54A942FA" w14:textId="77777777" w:rsidR="004D0F66" w:rsidRPr="00F71429" w:rsidRDefault="004D0F66" w:rsidP="004D0F66">
      <w:pPr>
        <w:pStyle w:val="ISIsubhead"/>
        <w:rPr>
          <w:rFonts w:ascii="Calibri" w:hAnsi="Calibri" w:cs="Calibri"/>
        </w:rPr>
      </w:pPr>
      <w:r w:rsidRPr="00F71429">
        <w:rPr>
          <w:rFonts w:ascii="Calibri" w:hAnsi="Calibri" w:cs="Calibri"/>
        </w:rPr>
        <w:t>Psychiatric Events</w:t>
      </w:r>
    </w:p>
    <w:p w14:paraId="7C7B4B7B" w14:textId="13ABB01A" w:rsidR="004D0F66" w:rsidRDefault="004D0F66" w:rsidP="004D0F66">
      <w:pPr>
        <w:pStyle w:val="IsiBullet"/>
        <w:rPr>
          <w:rFonts w:ascii="Calibri" w:hAnsi="Calibri" w:cs="Calibri"/>
        </w:rPr>
      </w:pPr>
      <w:r>
        <w:rPr>
          <w:rFonts w:ascii="Calibri" w:hAnsi="Calibri" w:cs="Calibri"/>
        </w:rPr>
        <w:t>•</w:t>
      </w:r>
      <w:r>
        <w:rPr>
          <w:rFonts w:ascii="Calibri" w:hAnsi="Calibri" w:cs="Calibri"/>
        </w:rPr>
        <w:tab/>
        <w:t>Psychiatric events have been reported in patients taking GnRH agonists, including LUPRON DEPOT-PED. Postmarketing reports with this class of drugs include symptoms of emotional lability, such as crying, irritability, impatience, anger, and aggression. Monitor for development or worsening of psychiatric symptoms during treatment.</w:t>
      </w:r>
    </w:p>
    <w:p w14:paraId="210BA5A5" w14:textId="77777777" w:rsidR="004D0F66" w:rsidRPr="00F71429" w:rsidRDefault="004D0F66" w:rsidP="004D0F66">
      <w:pPr>
        <w:pStyle w:val="ISIsubhead"/>
        <w:rPr>
          <w:rFonts w:ascii="Calibri" w:hAnsi="Calibri" w:cs="Calibri"/>
        </w:rPr>
      </w:pPr>
      <w:r w:rsidRPr="00F71429">
        <w:rPr>
          <w:rFonts w:ascii="Calibri" w:hAnsi="Calibri" w:cs="Calibri"/>
        </w:rPr>
        <w:t>Convulsions</w:t>
      </w:r>
    </w:p>
    <w:p w14:paraId="56DE7D70" w14:textId="3C8F98BB" w:rsidR="004D0F66" w:rsidRDefault="004D0F66" w:rsidP="004D0F66">
      <w:pPr>
        <w:pStyle w:val="IsiBullet"/>
        <w:spacing w:after="180"/>
        <w:rPr>
          <w:rFonts w:ascii="Calibri" w:hAnsi="Calibri" w:cs="Calibri"/>
        </w:rPr>
      </w:pPr>
      <w:r>
        <w:rPr>
          <w:rFonts w:ascii="Calibri" w:hAnsi="Calibri" w:cs="Calibri"/>
        </w:rPr>
        <w:t>•</w:t>
      </w:r>
      <w:r>
        <w:rPr>
          <w:rFonts w:ascii="Calibri" w:hAnsi="Calibri" w:cs="Calibri"/>
        </w:rPr>
        <w:tab/>
        <w:t>Postmarketing reports of convulsions have been observed in patients receiving GnRH agonists, including LUPRON DEPOT-PED. These included patients with a history of seizures, epilepsy, cerebrovascular disorders, central nervous system anomalies or tumors, and patients on concomitant medications that have been associated with convulsions, such as bupropion and SSRIs. Convulsions have also been reported in patients in the absence of any of the conditions mentioned above.</w:t>
      </w:r>
    </w:p>
    <w:p w14:paraId="307F0B01" w14:textId="77777777" w:rsidR="004D0F66" w:rsidRPr="00F71429" w:rsidRDefault="004D0F66" w:rsidP="004D0F66">
      <w:pPr>
        <w:pStyle w:val="ISIsubhead"/>
        <w:rPr>
          <w:rFonts w:ascii="Calibri" w:hAnsi="Calibri" w:cs="Calibri"/>
        </w:rPr>
      </w:pPr>
      <w:r w:rsidRPr="00F71429">
        <w:rPr>
          <w:rFonts w:ascii="Calibri" w:hAnsi="Calibri" w:cs="Calibri"/>
        </w:rPr>
        <w:t>ADVERSE REACTIONS</w:t>
      </w:r>
    </w:p>
    <w:p w14:paraId="14D5ECA0" w14:textId="77777777" w:rsidR="004D0F66" w:rsidRDefault="004D0F66" w:rsidP="004D0F66">
      <w:pPr>
        <w:pStyle w:val="IsiBullet"/>
        <w:rPr>
          <w:rFonts w:ascii="Calibri" w:hAnsi="Calibri" w:cs="Calibri"/>
        </w:rPr>
      </w:pPr>
      <w:r>
        <w:rPr>
          <w:rFonts w:ascii="Calibri" w:hAnsi="Calibri" w:cs="Calibri"/>
        </w:rPr>
        <w:t>•</w:t>
      </w:r>
      <w:r>
        <w:rPr>
          <w:rFonts w:ascii="Calibri" w:hAnsi="Calibri" w:cs="Calibri"/>
        </w:rPr>
        <w:tab/>
        <w:t>The most common (≥2%) adverse reactions in the LUPRON DEPOT-PED clinical studies were:</w:t>
      </w:r>
    </w:p>
    <w:p w14:paraId="6DE35FA2" w14:textId="77777777" w:rsidR="004D0F66" w:rsidRDefault="004D0F66" w:rsidP="004D0F66">
      <w:pPr>
        <w:pStyle w:val="IsiBullet"/>
        <w:tabs>
          <w:tab w:val="clear" w:pos="560"/>
          <w:tab w:val="left" w:pos="480"/>
        </w:tabs>
        <w:ind w:left="630" w:hanging="270"/>
        <w:rPr>
          <w:rFonts w:ascii="Calibri" w:hAnsi="Calibri" w:cs="Calibri"/>
        </w:rPr>
      </w:pPr>
      <w:r>
        <w:rPr>
          <w:rFonts w:ascii="Calibri" w:hAnsi="Calibri" w:cs="Calibri"/>
        </w:rPr>
        <w:t>—</w:t>
      </w:r>
      <w:r>
        <w:rPr>
          <w:rFonts w:ascii="Calibri" w:hAnsi="Calibri" w:cs="Calibri"/>
        </w:rPr>
        <w:tab/>
        <w:t>LUPRON DEPOT-PED 7.5 mg, 11.25 mg, and 15 mg for 1-month administration: injection site reactions including abscess, emotional lability, acne/seborrhea, vaginitis/vaginal bleeding/vaginal discharge, pain, rash including erythema multiforme, headache, and vasodilation.</w:t>
      </w:r>
    </w:p>
    <w:p w14:paraId="46D8BBD1" w14:textId="6BE31C1E" w:rsidR="004D0F66" w:rsidRDefault="004D0F66" w:rsidP="004D0F66">
      <w:pPr>
        <w:pStyle w:val="IsiBullet"/>
        <w:tabs>
          <w:tab w:val="clear" w:pos="560"/>
          <w:tab w:val="left" w:pos="480"/>
        </w:tabs>
        <w:ind w:left="630" w:hanging="270"/>
        <w:rPr>
          <w:rFonts w:ascii="Calibri" w:hAnsi="Calibri" w:cs="Calibri"/>
        </w:rPr>
      </w:pPr>
      <w:r>
        <w:rPr>
          <w:rFonts w:ascii="Calibri" w:hAnsi="Calibri" w:cs="Calibri"/>
        </w:rPr>
        <w:t>—</w:t>
      </w:r>
      <w:r>
        <w:rPr>
          <w:rFonts w:ascii="Calibri" w:hAnsi="Calibri" w:cs="Calibri"/>
        </w:rPr>
        <w:tab/>
        <w:t>L</w:t>
      </w:r>
      <w:r>
        <w:rPr>
          <w:rFonts w:ascii="Calibri" w:hAnsi="Calibri" w:cs="Calibri"/>
          <w:spacing w:val="-2"/>
        </w:rPr>
        <w:t xml:space="preserve">UPRON DEPOT-PED 11.25 mg and 30 mg for 3-month administration: injection site pain, weight increased, </w:t>
      </w:r>
      <w:r>
        <w:rPr>
          <w:rFonts w:ascii="Calibri" w:hAnsi="Calibri" w:cs="Calibri"/>
        </w:rPr>
        <w:t xml:space="preserve">headache, </w:t>
      </w:r>
      <w:r>
        <w:rPr>
          <w:rFonts w:ascii="Calibri" w:hAnsi="Calibri" w:cs="Calibri"/>
        </w:rPr>
        <w:br/>
        <w:t>mood altered, and injection site swelling.</w:t>
      </w:r>
    </w:p>
    <w:p w14:paraId="03AA2569" w14:textId="77777777" w:rsidR="004D0F66" w:rsidRDefault="004D0F66" w:rsidP="004D0F66">
      <w:pPr>
        <w:pStyle w:val="IsiBullet"/>
        <w:rPr>
          <w:rFonts w:ascii="Calibri" w:hAnsi="Calibri" w:cs="Calibri"/>
        </w:rPr>
      </w:pPr>
      <w:r>
        <w:rPr>
          <w:rFonts w:ascii="Calibri" w:hAnsi="Calibri" w:cs="Calibri"/>
        </w:rPr>
        <w:t>•</w:t>
      </w:r>
      <w:r>
        <w:rPr>
          <w:rFonts w:ascii="Calibri" w:hAnsi="Calibri" w:cs="Calibri"/>
        </w:rPr>
        <w:tab/>
        <w:t>Diagnostic tests of pituitary gonadotropic and gonadal functions conducted during treatment and up to 6 months after discontinuation may be affected.</w:t>
      </w:r>
    </w:p>
    <w:p w14:paraId="3169D083" w14:textId="77777777" w:rsidR="004D0F66" w:rsidRDefault="004D0F66" w:rsidP="004D0F66">
      <w:pPr>
        <w:pStyle w:val="IsiBullet"/>
        <w:rPr>
          <w:rFonts w:ascii="Calibri" w:hAnsi="Calibri" w:cs="Calibri"/>
        </w:rPr>
      </w:pPr>
      <w:r>
        <w:rPr>
          <w:rFonts w:ascii="Calibri" w:hAnsi="Calibri" w:cs="Calibri"/>
        </w:rPr>
        <w:t>•</w:t>
      </w:r>
      <w:r>
        <w:rPr>
          <w:rFonts w:ascii="Calibri" w:hAnsi="Calibri" w:cs="Calibri"/>
        </w:rPr>
        <w:tab/>
        <w:t>The safety and effectiveness of LUPRON DEPOT-PED have not been established in pediatric patients less than 1 year old.</w:t>
      </w:r>
    </w:p>
    <w:p w14:paraId="4371013D" w14:textId="77777777" w:rsidR="004D0F66" w:rsidRDefault="004D0F66" w:rsidP="004D0F66">
      <w:pPr>
        <w:pStyle w:val="IsiBullet"/>
      </w:pPr>
      <w:r>
        <w:rPr>
          <w:rFonts w:ascii="Calibri" w:hAnsi="Calibri" w:cs="Calibri"/>
        </w:rPr>
        <w:t>•</w:t>
      </w:r>
      <w:r>
        <w:rPr>
          <w:rFonts w:ascii="Calibri" w:hAnsi="Calibri" w:cs="Calibri"/>
        </w:rPr>
        <w:tab/>
        <w:t>LUPRON DEPOT-PED must be administered by a healthcare professional</w:t>
      </w:r>
      <w:r>
        <w:t>.</w:t>
      </w:r>
    </w:p>
    <w:p w14:paraId="28E8968C" w14:textId="4E9271E1" w:rsidR="001D35C8" w:rsidRPr="000C6C7C" w:rsidRDefault="001D35C8" w:rsidP="001D35C8">
      <w:pPr>
        <w:spacing w:after="120" w:line="240" w:lineRule="auto"/>
        <w:ind w:left="180" w:right="360"/>
        <w:rPr>
          <w:rFonts w:cs="Arial"/>
          <w:sz w:val="20"/>
          <w:szCs w:val="20"/>
        </w:rPr>
      </w:pPr>
    </w:p>
    <w:p w14:paraId="7DE45432" w14:textId="77777777" w:rsidR="001D35C8" w:rsidRPr="0008530B" w:rsidRDefault="001D35C8" w:rsidP="001D35C8">
      <w:pPr>
        <w:spacing w:after="120" w:line="240" w:lineRule="auto"/>
        <w:contextualSpacing/>
        <w:rPr>
          <w:rFonts w:ascii="Calibri" w:hAnsi="Calibri"/>
          <w:sz w:val="20"/>
          <w:szCs w:val="20"/>
        </w:rPr>
      </w:pPr>
    </w:p>
    <w:p w14:paraId="3B7EEC1D" w14:textId="77777777" w:rsidR="004F42E8" w:rsidRDefault="004F42E8" w:rsidP="00260F3A">
      <w:pPr>
        <w:autoSpaceDE w:val="0"/>
        <w:autoSpaceDN w:val="0"/>
        <w:adjustRightInd w:val="0"/>
        <w:spacing w:after="120" w:line="240" w:lineRule="auto"/>
        <w:ind w:left="1080" w:hanging="1080"/>
        <w:contextualSpacing/>
        <w:jc w:val="center"/>
        <w:rPr>
          <w:rFonts w:ascii="Calibri" w:hAnsi="Calibri" w:cstheme="minorHAnsi"/>
          <w:b/>
          <w:sz w:val="28"/>
          <w:szCs w:val="28"/>
        </w:rPr>
      </w:pPr>
      <w:r>
        <w:rPr>
          <w:rFonts w:ascii="Calibri" w:hAnsi="Calibri" w:cstheme="minorHAnsi"/>
          <w:b/>
          <w:sz w:val="28"/>
          <w:szCs w:val="28"/>
        </w:rPr>
        <w:br w:type="page"/>
      </w:r>
    </w:p>
    <w:p w14:paraId="0F34E862" w14:textId="77777777" w:rsidR="00C259C2" w:rsidRPr="00C259C2" w:rsidRDefault="00C259C2" w:rsidP="00260F3A">
      <w:pPr>
        <w:autoSpaceDE w:val="0"/>
        <w:autoSpaceDN w:val="0"/>
        <w:adjustRightInd w:val="0"/>
        <w:spacing w:after="120" w:line="240" w:lineRule="auto"/>
        <w:ind w:left="1080" w:hanging="1080"/>
        <w:contextualSpacing/>
        <w:jc w:val="center"/>
        <w:rPr>
          <w:rFonts w:ascii="Calibri" w:hAnsi="Calibri" w:cstheme="minorHAnsi"/>
          <w:b/>
          <w:sz w:val="28"/>
          <w:szCs w:val="28"/>
        </w:rPr>
      </w:pPr>
      <w:r w:rsidRPr="00C259C2">
        <w:rPr>
          <w:rFonts w:ascii="Calibri" w:hAnsi="Calibri" w:cstheme="minorHAnsi"/>
          <w:b/>
          <w:sz w:val="28"/>
          <w:szCs w:val="28"/>
        </w:rPr>
        <w:lastRenderedPageBreak/>
        <w:t>SAMPLE Letter of Medical Necessity</w:t>
      </w:r>
    </w:p>
    <w:p w14:paraId="7BC3B4E4" w14:textId="77777777" w:rsidR="00C259C2" w:rsidRDefault="00C259C2" w:rsidP="00260F3A">
      <w:pPr>
        <w:autoSpaceDE w:val="0"/>
        <w:autoSpaceDN w:val="0"/>
        <w:adjustRightInd w:val="0"/>
        <w:spacing w:after="120" w:line="240" w:lineRule="auto"/>
        <w:ind w:left="1080" w:hanging="1080"/>
        <w:contextualSpacing/>
        <w:rPr>
          <w:rFonts w:ascii="Calibri" w:hAnsi="Calibri" w:cstheme="minorHAnsi"/>
          <w:color w:val="FF0000"/>
        </w:rPr>
      </w:pPr>
    </w:p>
    <w:p w14:paraId="1DFF7F00" w14:textId="77777777" w:rsidR="00622D6A" w:rsidRPr="001D623E" w:rsidRDefault="00622D6A" w:rsidP="00260F3A">
      <w:pPr>
        <w:autoSpaceDE w:val="0"/>
        <w:autoSpaceDN w:val="0"/>
        <w:adjustRightInd w:val="0"/>
        <w:spacing w:after="120" w:line="240" w:lineRule="auto"/>
        <w:ind w:left="1080" w:hanging="1080"/>
        <w:contextualSpacing/>
        <w:rPr>
          <w:rFonts w:ascii="Calibri" w:hAnsi="Calibri" w:cstheme="minorHAnsi"/>
          <w:color w:val="FF0000"/>
        </w:rPr>
      </w:pPr>
      <w:r w:rsidRPr="001D623E">
        <w:rPr>
          <w:rFonts w:ascii="Calibri" w:hAnsi="Calibri" w:cstheme="minorHAnsi"/>
          <w:color w:val="FF0000"/>
        </w:rPr>
        <w:t>&lt;VARIABLE DATE&gt;</w:t>
      </w:r>
    </w:p>
    <w:p w14:paraId="6DB7D354"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NAME&gt;</w:t>
      </w:r>
    </w:p>
    <w:p w14:paraId="40331D6D"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ADDRESS&gt;</w:t>
      </w:r>
    </w:p>
    <w:p w14:paraId="03FCA542"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CITY, STATE&gt;</w:t>
      </w:r>
    </w:p>
    <w:p w14:paraId="0E5C9378"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FAX NUMBER&gt;</w:t>
      </w:r>
    </w:p>
    <w:p w14:paraId="109228CE"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p>
    <w:p w14:paraId="523421E1"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4B093B">
        <w:rPr>
          <w:rFonts w:ascii="Calibri" w:hAnsi="Calibri" w:cstheme="minorHAnsi"/>
        </w:rPr>
        <w:t xml:space="preserve">Attn: </w:t>
      </w:r>
      <w:r w:rsidRPr="001D623E">
        <w:rPr>
          <w:rFonts w:ascii="Calibri" w:hAnsi="Calibri" w:cstheme="minorHAnsi"/>
          <w:color w:val="FF0000"/>
        </w:rPr>
        <w:t>&lt;VARIABLE ATTN&gt;</w:t>
      </w:r>
    </w:p>
    <w:p w14:paraId="350493AC"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p>
    <w:p w14:paraId="0BA20CA6" w14:textId="77777777" w:rsidR="00303F62"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4B093B">
        <w:rPr>
          <w:rFonts w:ascii="Calibri" w:hAnsi="Calibri" w:cstheme="minorHAnsi"/>
        </w:rPr>
        <w:t xml:space="preserve">Re: Coverage of </w:t>
      </w:r>
      <w:r w:rsidR="00303F62">
        <w:rPr>
          <w:rFonts w:ascii="Calibri" w:hAnsi="Calibri"/>
        </w:rPr>
        <w:t>LUPRON DEPOT-PED</w:t>
      </w:r>
      <w:r w:rsidR="00383FAE" w:rsidRPr="004B093B">
        <w:rPr>
          <w:rFonts w:ascii="Calibri" w:hAnsi="Calibri" w:cstheme="minorHAnsi"/>
        </w:rPr>
        <w:t xml:space="preserve"> </w:t>
      </w:r>
      <w:r w:rsidRPr="004B093B">
        <w:rPr>
          <w:rFonts w:ascii="Calibri" w:hAnsi="Calibri" w:cstheme="minorHAnsi"/>
        </w:rPr>
        <w:t>(</w:t>
      </w:r>
      <w:r w:rsidR="00383FAE" w:rsidRPr="004B093B">
        <w:rPr>
          <w:rFonts w:ascii="Calibri" w:hAnsi="Calibri"/>
        </w:rPr>
        <w:t>leuprolide acetate for depot suspension</w:t>
      </w:r>
      <w:r w:rsidRPr="004B093B">
        <w:rPr>
          <w:rFonts w:ascii="Calibri" w:hAnsi="Calibri" w:cstheme="minorHAnsi"/>
        </w:rPr>
        <w:t>)</w:t>
      </w:r>
      <w:r w:rsidR="00303F62">
        <w:rPr>
          <w:rFonts w:ascii="Calibri" w:hAnsi="Calibri" w:cstheme="minorHAnsi"/>
        </w:rPr>
        <w:t xml:space="preserve"> </w:t>
      </w:r>
      <w:r w:rsidR="00303F62" w:rsidRPr="001D623E">
        <w:rPr>
          <w:rFonts w:ascii="Calibri" w:hAnsi="Calibri" w:cstheme="minorHAnsi"/>
          <w:color w:val="FF0000"/>
        </w:rPr>
        <w:t xml:space="preserve">&lt;VARIABLE </w:t>
      </w:r>
      <w:r w:rsidR="00303F62">
        <w:rPr>
          <w:rFonts w:ascii="Calibri" w:hAnsi="Calibri" w:cstheme="minorHAnsi"/>
          <w:color w:val="FF0000"/>
        </w:rPr>
        <w:t>STRENGTH AND DURATION</w:t>
      </w:r>
      <w:r w:rsidR="00303F62" w:rsidRPr="001D623E">
        <w:rPr>
          <w:rFonts w:ascii="Calibri" w:hAnsi="Calibri" w:cstheme="minorHAnsi"/>
          <w:color w:val="FF0000"/>
        </w:rPr>
        <w:t>&gt;</w:t>
      </w:r>
    </w:p>
    <w:p w14:paraId="62CBE3A4"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p>
    <w:p w14:paraId="42E8F247" w14:textId="77777777" w:rsidR="00383FAE" w:rsidRPr="004B093B" w:rsidRDefault="00383FAE" w:rsidP="00260F3A">
      <w:pPr>
        <w:autoSpaceDE w:val="0"/>
        <w:autoSpaceDN w:val="0"/>
        <w:adjustRightInd w:val="0"/>
        <w:spacing w:after="120" w:line="240" w:lineRule="auto"/>
        <w:contextualSpacing/>
        <w:rPr>
          <w:rFonts w:ascii="Calibri" w:hAnsi="Calibri" w:cstheme="minorHAnsi"/>
        </w:rPr>
      </w:pPr>
    </w:p>
    <w:p w14:paraId="7DA3769D"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NAME&gt;</w:t>
      </w:r>
    </w:p>
    <w:p w14:paraId="030A69AA"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DATE OF BIRTH&gt;</w:t>
      </w:r>
    </w:p>
    <w:p w14:paraId="41843F5A" w14:textId="77777777"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MEMBER ID&gt;</w:t>
      </w:r>
    </w:p>
    <w:p w14:paraId="097F3A11"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p>
    <w:p w14:paraId="70E34489"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To whom it may concern,</w:t>
      </w:r>
    </w:p>
    <w:p w14:paraId="59C93BF8" w14:textId="77777777" w:rsidR="004018E9" w:rsidRPr="004B093B" w:rsidRDefault="004018E9" w:rsidP="00260F3A">
      <w:pPr>
        <w:autoSpaceDE w:val="0"/>
        <w:autoSpaceDN w:val="0"/>
        <w:adjustRightInd w:val="0"/>
        <w:spacing w:after="120" w:line="240" w:lineRule="auto"/>
        <w:contextualSpacing/>
        <w:rPr>
          <w:rFonts w:ascii="Calibri" w:hAnsi="Calibri" w:cstheme="minorHAnsi"/>
        </w:rPr>
      </w:pPr>
    </w:p>
    <w:p w14:paraId="180E9135" w14:textId="77777777" w:rsidR="00877EE2"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 xml:space="preserve">I am writing to request approval of </w:t>
      </w:r>
      <w:r w:rsidR="00383FAE" w:rsidRPr="004B093B">
        <w:rPr>
          <w:rFonts w:ascii="Calibri" w:hAnsi="Calibri"/>
        </w:rPr>
        <w:t xml:space="preserve">LUPRON DEPOT-PED </w:t>
      </w:r>
      <w:r w:rsidR="00383FAE" w:rsidRPr="001D623E">
        <w:rPr>
          <w:rFonts w:ascii="Calibri" w:hAnsi="Calibri" w:cstheme="minorHAnsi"/>
          <w:color w:val="FF0000"/>
        </w:rPr>
        <w:t xml:space="preserve">&lt;VARIABLE </w:t>
      </w:r>
      <w:r w:rsidR="00383FAE" w:rsidRPr="001D623E">
        <w:rPr>
          <w:rFonts w:ascii="Calibri" w:hAnsi="Calibri" w:cstheme="minorHAnsi"/>
          <w:caps/>
          <w:color w:val="FF0000"/>
        </w:rPr>
        <w:t>Strength</w:t>
      </w:r>
      <w:r w:rsidR="00383FAE" w:rsidRPr="001D623E">
        <w:rPr>
          <w:rFonts w:ascii="Calibri" w:hAnsi="Calibri" w:cstheme="minorHAnsi"/>
          <w:color w:val="FF0000"/>
        </w:rPr>
        <w:t>&gt; &lt;</w:t>
      </w:r>
      <w:r w:rsidR="00383FAE" w:rsidRPr="001D623E">
        <w:rPr>
          <w:rFonts w:ascii="Calibri" w:hAnsi="Calibri" w:cstheme="minorHAnsi"/>
          <w:caps/>
          <w:color w:val="FF0000"/>
        </w:rPr>
        <w:t>Variable Duration</w:t>
      </w:r>
      <w:r w:rsidR="00383FAE" w:rsidRPr="001D623E">
        <w:rPr>
          <w:rFonts w:ascii="Calibri" w:hAnsi="Calibri" w:cstheme="minorHAnsi"/>
          <w:color w:val="FF0000"/>
        </w:rPr>
        <w:t xml:space="preserve">&gt; </w:t>
      </w:r>
      <w:r w:rsidR="00383FAE" w:rsidRPr="004B093B">
        <w:rPr>
          <w:rFonts w:ascii="Calibri" w:hAnsi="Calibri" w:cstheme="minorHAnsi"/>
        </w:rPr>
        <w:t>(</w:t>
      </w:r>
      <w:r w:rsidR="00383FAE" w:rsidRPr="004B093B">
        <w:rPr>
          <w:rFonts w:ascii="Calibri" w:hAnsi="Calibri"/>
        </w:rPr>
        <w:t>leuprolide acetate for depot suspension</w:t>
      </w:r>
      <w:r w:rsidR="00383FAE" w:rsidRPr="004B093B">
        <w:rPr>
          <w:rFonts w:ascii="Calibri" w:hAnsi="Calibri" w:cstheme="minorHAnsi"/>
        </w:rPr>
        <w:t>)</w:t>
      </w:r>
      <w:r w:rsidRPr="004B093B">
        <w:rPr>
          <w:rFonts w:ascii="Calibri" w:hAnsi="Calibri" w:cstheme="minorHAnsi"/>
        </w:rPr>
        <w:t xml:space="preserve"> to treat my patient </w:t>
      </w:r>
      <w:r w:rsidRPr="001D623E">
        <w:rPr>
          <w:rFonts w:ascii="Calibri" w:hAnsi="Calibri" w:cstheme="minorHAnsi"/>
          <w:color w:val="FF0000"/>
        </w:rPr>
        <w:t>&lt;VARIABLE PATIENT NAME&gt;</w:t>
      </w:r>
      <w:r w:rsidR="00877EE2" w:rsidRPr="001D623E">
        <w:rPr>
          <w:rFonts w:ascii="Calibri" w:hAnsi="Calibri" w:cstheme="minorHAnsi"/>
          <w:color w:val="FF0000"/>
        </w:rPr>
        <w:t xml:space="preserve"> </w:t>
      </w:r>
      <w:r w:rsidR="00303F62">
        <w:rPr>
          <w:rFonts w:ascii="Calibri" w:hAnsi="Calibri" w:cstheme="minorHAnsi"/>
        </w:rPr>
        <w:t>for Central Precocious Puberty (CPP). The full prescribing information for Lupron Depot-PED can be accessed at rxabbvie.com</w:t>
      </w:r>
      <w:r w:rsidRPr="004B093B">
        <w:rPr>
          <w:rFonts w:ascii="Calibri" w:hAnsi="Calibri" w:cstheme="minorHAnsi"/>
        </w:rPr>
        <w:t xml:space="preserve">. </w:t>
      </w:r>
    </w:p>
    <w:p w14:paraId="01E55841" w14:textId="77777777" w:rsidR="00877EE2" w:rsidRPr="004B093B" w:rsidRDefault="00877EE2" w:rsidP="00260F3A">
      <w:pPr>
        <w:autoSpaceDE w:val="0"/>
        <w:autoSpaceDN w:val="0"/>
        <w:adjustRightInd w:val="0"/>
        <w:spacing w:after="120" w:line="240" w:lineRule="auto"/>
        <w:contextualSpacing/>
        <w:rPr>
          <w:rFonts w:ascii="Calibri" w:hAnsi="Calibri" w:cstheme="minorHAnsi"/>
        </w:rPr>
      </w:pPr>
    </w:p>
    <w:p w14:paraId="5677595A"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 xml:space="preserve">This product was denied on </w:t>
      </w:r>
      <w:r w:rsidRPr="001D623E">
        <w:rPr>
          <w:rFonts w:ascii="Calibri" w:hAnsi="Calibri" w:cstheme="minorHAnsi"/>
          <w:color w:val="FF0000"/>
        </w:rPr>
        <w:t xml:space="preserve">&lt;VARIABLE DATE&gt; </w:t>
      </w:r>
      <w:r w:rsidRPr="004B093B">
        <w:rPr>
          <w:rFonts w:ascii="Calibri" w:hAnsi="Calibri" w:cstheme="minorHAnsi"/>
        </w:rPr>
        <w:t xml:space="preserve">for the following reason(s): </w:t>
      </w:r>
      <w:r w:rsidRPr="001D623E">
        <w:rPr>
          <w:rFonts w:ascii="Calibri" w:hAnsi="Calibri" w:cstheme="minorHAnsi"/>
          <w:color w:val="FF0000"/>
        </w:rPr>
        <w:t>&lt;VARIABLE CONTENT&gt;</w:t>
      </w:r>
      <w:r w:rsidR="00952BDC" w:rsidRPr="00952BDC">
        <w:rPr>
          <w:rFonts w:ascii="Calibri" w:hAnsi="Calibri" w:cstheme="minorHAnsi"/>
        </w:rPr>
        <w:t xml:space="preserve">. </w:t>
      </w:r>
      <w:r w:rsidR="000A244A">
        <w:rPr>
          <w:rFonts w:ascii="Calibri" w:hAnsi="Calibri" w:cstheme="minorHAnsi"/>
        </w:rPr>
        <w:t xml:space="preserve"> </w:t>
      </w:r>
      <w:r w:rsidRPr="001D623E">
        <w:rPr>
          <w:rFonts w:ascii="Calibri" w:hAnsi="Calibri" w:cstheme="minorHAnsi"/>
          <w:color w:val="FF0000"/>
        </w:rPr>
        <w:t xml:space="preserve">&lt;VARIABLE </w:t>
      </w:r>
      <w:r w:rsidR="000A244A">
        <w:rPr>
          <w:rFonts w:ascii="Calibri" w:hAnsi="Calibri" w:cstheme="minorHAnsi"/>
          <w:color w:val="FF0000"/>
        </w:rPr>
        <w:br/>
      </w:r>
      <w:r w:rsidRPr="001D623E">
        <w:rPr>
          <w:rFonts w:ascii="Calibri" w:hAnsi="Calibri" w:cstheme="minorHAnsi"/>
          <w:color w:val="FF0000"/>
        </w:rPr>
        <w:t xml:space="preserve">PATIENT NAME&gt; </w:t>
      </w:r>
      <w:r w:rsidRPr="004B093B">
        <w:rPr>
          <w:rFonts w:ascii="Calibri" w:hAnsi="Calibri" w:cstheme="minorHAnsi"/>
        </w:rPr>
        <w:t xml:space="preserve">is a </w:t>
      </w:r>
      <w:r w:rsidRPr="001D623E">
        <w:rPr>
          <w:rFonts w:ascii="Calibri" w:hAnsi="Calibri" w:cstheme="minorHAnsi"/>
          <w:color w:val="FF0000"/>
        </w:rPr>
        <w:t xml:space="preserve">&lt;VARIABLE PATIENT AGE&gt; </w:t>
      </w:r>
      <w:r w:rsidRPr="004B093B">
        <w:rPr>
          <w:rFonts w:ascii="Calibri" w:hAnsi="Calibri" w:cstheme="minorHAnsi"/>
        </w:rPr>
        <w:t xml:space="preserve">year-old who has been diagnosed with </w:t>
      </w:r>
      <w:r w:rsidRPr="004B093B">
        <w:rPr>
          <w:rFonts w:ascii="Calibri" w:hAnsi="Calibri"/>
        </w:rPr>
        <w:t>central precocious puberty</w:t>
      </w:r>
      <w:r w:rsidRPr="004B093B">
        <w:rPr>
          <w:rFonts w:ascii="Calibri" w:hAnsi="Calibri" w:cstheme="minorHAnsi"/>
        </w:rPr>
        <w:t>.</w:t>
      </w:r>
    </w:p>
    <w:p w14:paraId="3BABC430" w14:textId="77777777" w:rsidR="00622D6A" w:rsidRPr="004B093B" w:rsidRDefault="00622D6A" w:rsidP="00260F3A">
      <w:pPr>
        <w:autoSpaceDE w:val="0"/>
        <w:autoSpaceDN w:val="0"/>
        <w:adjustRightInd w:val="0"/>
        <w:spacing w:after="120" w:line="240" w:lineRule="auto"/>
        <w:contextualSpacing/>
        <w:rPr>
          <w:rFonts w:ascii="Calibri" w:hAnsi="Calibri" w:cstheme="minorHAnsi"/>
        </w:rPr>
      </w:pPr>
    </w:p>
    <w:p w14:paraId="479244E5" w14:textId="77777777" w:rsidR="00243711" w:rsidRPr="004B093B" w:rsidRDefault="00622D6A" w:rsidP="00260F3A">
      <w:pPr>
        <w:autoSpaceDE w:val="0"/>
        <w:autoSpaceDN w:val="0"/>
        <w:adjustRightInd w:val="0"/>
        <w:spacing w:after="120" w:line="240" w:lineRule="auto"/>
        <w:contextualSpacing/>
        <w:rPr>
          <w:rFonts w:ascii="Calibri" w:hAnsi="Calibri" w:cstheme="minorHAnsi"/>
        </w:rPr>
      </w:pPr>
      <w:r w:rsidRPr="001D623E">
        <w:rPr>
          <w:rFonts w:ascii="Calibri" w:hAnsi="Calibri" w:cstheme="minorHAnsi"/>
          <w:color w:val="FF0000"/>
        </w:rPr>
        <w:t>&lt;VARIABLE PATIENT NAME&gt;</w:t>
      </w:r>
      <w:r w:rsidRPr="004B093B">
        <w:rPr>
          <w:rFonts w:ascii="Calibri" w:hAnsi="Calibri" w:cstheme="minorHAnsi"/>
        </w:rPr>
        <w:t>’s medical history includes</w:t>
      </w:r>
      <w:r w:rsidR="004018E9" w:rsidRPr="004B093B">
        <w:rPr>
          <w:rFonts w:ascii="Calibri" w:hAnsi="Calibri" w:cstheme="minorHAnsi"/>
        </w:rPr>
        <w:t xml:space="preserve"> the following</w:t>
      </w:r>
      <w:r w:rsidR="00303F62">
        <w:rPr>
          <w:rFonts w:ascii="Calibri" w:hAnsi="Calibri" w:cstheme="minorHAnsi"/>
        </w:rPr>
        <w:t>:</w:t>
      </w:r>
    </w:p>
    <w:p w14:paraId="5169EEC4" w14:textId="77777777" w:rsidR="00EC53D6" w:rsidRDefault="00EC53D6" w:rsidP="00260F3A">
      <w:pPr>
        <w:autoSpaceDE w:val="0"/>
        <w:autoSpaceDN w:val="0"/>
        <w:adjustRightInd w:val="0"/>
        <w:spacing w:after="120" w:line="240" w:lineRule="auto"/>
        <w:contextualSpacing/>
        <w:rPr>
          <w:rFonts w:ascii="Calibri" w:hAnsi="Calibri" w:cstheme="minorHAnsi"/>
        </w:rPr>
      </w:pPr>
    </w:p>
    <w:p w14:paraId="67F9AC6B" w14:textId="0180C2A6" w:rsidR="00EC53D6" w:rsidRDefault="00303F62" w:rsidP="00260F3A">
      <w:pPr>
        <w:autoSpaceDE w:val="0"/>
        <w:autoSpaceDN w:val="0"/>
        <w:adjustRightInd w:val="0"/>
        <w:spacing w:after="120" w:line="240" w:lineRule="auto"/>
        <w:contextualSpacing/>
        <w:rPr>
          <w:rFonts w:ascii="Calibri" w:hAnsi="Calibri" w:cstheme="minorHAnsi"/>
          <w:color w:val="FF0000"/>
        </w:rPr>
      </w:pPr>
      <w:r w:rsidRPr="00303F62">
        <w:rPr>
          <w:rFonts w:ascii="Calibri" w:hAnsi="Calibri" w:cstheme="minorHAnsi"/>
          <w:color w:val="FF0000"/>
        </w:rPr>
        <w:t>&lt;DESCRIBE THE PATIENT’s M</w:t>
      </w:r>
      <w:r w:rsidR="00926156">
        <w:rPr>
          <w:rFonts w:ascii="Calibri" w:hAnsi="Calibri" w:cstheme="minorHAnsi"/>
          <w:color w:val="FF0000"/>
        </w:rPr>
        <w:t>EDICAL HISTORY, DIAGNOSIS, ETC.</w:t>
      </w:r>
      <w:r w:rsidR="002C6F5A">
        <w:rPr>
          <w:rFonts w:ascii="Calibri" w:hAnsi="Calibri" w:cstheme="minorHAnsi"/>
          <w:color w:val="FF0000"/>
        </w:rPr>
        <w:t>&gt;</w:t>
      </w:r>
    </w:p>
    <w:p w14:paraId="70586F31" w14:textId="77777777" w:rsidR="00EC53D6" w:rsidRDefault="00EC53D6" w:rsidP="00260F3A">
      <w:pPr>
        <w:autoSpaceDE w:val="0"/>
        <w:autoSpaceDN w:val="0"/>
        <w:adjustRightInd w:val="0"/>
        <w:spacing w:after="120" w:line="240" w:lineRule="auto"/>
        <w:contextualSpacing/>
        <w:rPr>
          <w:rFonts w:ascii="Calibri" w:hAnsi="Calibri" w:cstheme="minorHAnsi"/>
          <w:color w:val="FF0000"/>
        </w:rPr>
      </w:pPr>
    </w:p>
    <w:p w14:paraId="0BAEA157" w14:textId="77777777" w:rsidR="00260F3A" w:rsidRDefault="00EC53D6"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b/>
        </w:rPr>
        <w:t xml:space="preserve"> </w:t>
      </w:r>
      <w:r w:rsidR="00715709" w:rsidRPr="004B093B">
        <w:rPr>
          <w:rFonts w:ascii="Calibri" w:hAnsi="Calibri" w:cstheme="minorHAnsi"/>
          <w:b/>
        </w:rPr>
        <w:t>Prior Treatment History:</w:t>
      </w:r>
      <w:r w:rsidR="00032F65" w:rsidRPr="004B093B">
        <w:rPr>
          <w:rFonts w:ascii="Calibri" w:hAnsi="Calibri" w:cstheme="minorHAnsi"/>
        </w:rPr>
        <w:t xml:space="preserve"> </w:t>
      </w:r>
      <w:r w:rsidR="00032F65" w:rsidRPr="001D623E">
        <w:rPr>
          <w:rFonts w:ascii="Calibri" w:hAnsi="Calibri" w:cstheme="minorHAnsi"/>
          <w:color w:val="FF0000"/>
        </w:rPr>
        <w:t>&lt;CONTENT&gt;</w:t>
      </w:r>
    </w:p>
    <w:p w14:paraId="457047DE" w14:textId="77777777" w:rsidR="00260F3A" w:rsidRPr="00260F3A" w:rsidRDefault="00260F3A" w:rsidP="00260F3A">
      <w:pPr>
        <w:autoSpaceDE w:val="0"/>
        <w:autoSpaceDN w:val="0"/>
        <w:adjustRightInd w:val="0"/>
        <w:spacing w:after="120" w:line="240" w:lineRule="auto"/>
        <w:contextualSpacing/>
        <w:rPr>
          <w:rFonts w:ascii="Calibri" w:hAnsi="Calibri" w:cstheme="minorHAnsi"/>
        </w:rPr>
      </w:pPr>
    </w:p>
    <w:p w14:paraId="7F81F180" w14:textId="77777777" w:rsidR="00DE5D7B" w:rsidRDefault="00DE5D7B" w:rsidP="00260F3A">
      <w:pPr>
        <w:spacing w:line="240" w:lineRule="auto"/>
        <w:rPr>
          <w:b/>
        </w:rPr>
      </w:pPr>
      <w:r w:rsidRPr="00866D89">
        <w:rPr>
          <w:b/>
        </w:rPr>
        <w:t>Clinical Consideration</w:t>
      </w:r>
      <w:r>
        <w:rPr>
          <w:b/>
        </w:rPr>
        <w:t xml:space="preserve">s </w:t>
      </w:r>
      <w:r w:rsidRPr="00DE5D7B">
        <w:t xml:space="preserve">(choose only one) </w:t>
      </w:r>
    </w:p>
    <w:p w14:paraId="371AC43F" w14:textId="77777777" w:rsidR="00260F3A" w:rsidRPr="000A047D" w:rsidRDefault="00260F3A" w:rsidP="00260F3A">
      <w:pPr>
        <w:spacing w:line="240" w:lineRule="auto"/>
        <w:rPr>
          <w:b/>
        </w:rPr>
      </w:pPr>
      <w:r w:rsidRPr="00866D89">
        <w:rPr>
          <w:b/>
        </w:rPr>
        <w:t>Clinical Consideration:</w:t>
      </w:r>
      <w:r>
        <w:rPr>
          <w:b/>
        </w:rPr>
        <w:t xml:space="preserve"> </w:t>
      </w:r>
      <w:r w:rsidRPr="00815C54">
        <w:rPr>
          <w:b/>
        </w:rPr>
        <w:t>Patient has a clinical diagnosis of CPP and is treatment naïve.</w:t>
      </w:r>
    </w:p>
    <w:p w14:paraId="18E76B66" w14:textId="01406AE2" w:rsidR="00260F3A" w:rsidRDefault="00260F3A" w:rsidP="00260F3A">
      <w:pPr>
        <w:spacing w:line="240" w:lineRule="auto"/>
      </w:pPr>
      <w:r>
        <w:t xml:space="preserve">LUPRON DEPOT-PED </w:t>
      </w:r>
      <w:r w:rsidR="004D0F66" w:rsidRPr="004D0F66">
        <w:rPr>
          <w:rFonts w:cstheme="minorHAnsi"/>
          <w:color w:val="000000"/>
        </w:rPr>
        <w:t>is indicated for the treatment of pediatric patients with central precocious puberty (CPP</w:t>
      </w:r>
      <w:r w:rsidRPr="004D0F66">
        <w:rPr>
          <w:rFonts w:cstheme="minorHAnsi"/>
        </w:rPr>
        <w:t>).</w:t>
      </w:r>
    </w:p>
    <w:p w14:paraId="010FD89D" w14:textId="77777777" w:rsidR="00260F3A" w:rsidRPr="003C779F" w:rsidRDefault="00260F3A" w:rsidP="00260F3A">
      <w:pPr>
        <w:spacing w:line="240" w:lineRule="auto"/>
        <w:rPr>
          <w:b/>
        </w:rPr>
      </w:pPr>
      <w:r>
        <w:t>Patient has not had hypersensitivity to GnRH, GnRH agonists or any of the excipients in LUPRON DEPOT</w:t>
      </w:r>
      <w:r w:rsidR="00DE5D7B">
        <w:t>-</w:t>
      </w:r>
      <w:r>
        <w:t>PED, and is not pregnant or planning to become pregnant.</w:t>
      </w:r>
    </w:p>
    <w:p w14:paraId="57F5A71F" w14:textId="77777777" w:rsidR="00260F3A" w:rsidRPr="000A047D" w:rsidRDefault="00260F3A" w:rsidP="00260F3A">
      <w:pPr>
        <w:spacing w:after="0" w:line="240" w:lineRule="auto"/>
        <w:ind w:firstLine="720"/>
        <w:rPr>
          <w:b/>
        </w:rPr>
      </w:pPr>
      <w:r w:rsidRPr="000A047D">
        <w:rPr>
          <w:b/>
        </w:rPr>
        <w:t>LUPRON DEPOT-PED 7.5 mg, 11.25 mg, or 15 mg for 1-month administration</w:t>
      </w:r>
    </w:p>
    <w:p w14:paraId="061930ED" w14:textId="77777777" w:rsidR="00260F3A" w:rsidRDefault="00260F3A" w:rsidP="00260F3A">
      <w:pPr>
        <w:pStyle w:val="ListParagraph"/>
        <w:numPr>
          <w:ilvl w:val="0"/>
          <w:numId w:val="15"/>
        </w:numPr>
        <w:spacing w:after="0" w:line="240" w:lineRule="auto"/>
      </w:pPr>
      <w:r>
        <w:t xml:space="preserve">During the treatment period, LUPRON DEPOT-PED suppressed gonadotropins and sex steroids to prepubertal levels. Suppression of peak stimulated LH concentrations to &lt; 1.75 </w:t>
      </w:r>
      <w:proofErr w:type="spellStart"/>
      <w:r>
        <w:t>mIU</w:t>
      </w:r>
      <w:proofErr w:type="spellEnd"/>
      <w:r>
        <w:t>/mL was achieved in 96% of subjects by month 1.</w:t>
      </w:r>
    </w:p>
    <w:p w14:paraId="0F7698D1" w14:textId="77777777" w:rsidR="00260F3A" w:rsidRDefault="00260F3A" w:rsidP="00260F3A">
      <w:pPr>
        <w:pStyle w:val="ListParagraph"/>
        <w:numPr>
          <w:ilvl w:val="0"/>
          <w:numId w:val="15"/>
        </w:numPr>
        <w:spacing w:line="240" w:lineRule="auto"/>
      </w:pPr>
      <w:r>
        <w:t xml:space="preserve">In females, suppression of breast development ranged from 66.7 to 90.6% of subjects during the first 5 years of treatment. The mean stimulated estradiol was 15.1 </w:t>
      </w:r>
      <w:proofErr w:type="spellStart"/>
      <w:r>
        <w:t>pg</w:t>
      </w:r>
      <w:proofErr w:type="spellEnd"/>
      <w:r>
        <w:t xml:space="preserve">/mL at baseline, decreased to the lower level of detection (5.0 </w:t>
      </w:r>
      <w:proofErr w:type="spellStart"/>
      <w:r>
        <w:t>pg</w:t>
      </w:r>
      <w:proofErr w:type="spellEnd"/>
      <w:r>
        <w:t>/mL) by Week 4 and was maintained there during the first 5 years of treatment.</w:t>
      </w:r>
    </w:p>
    <w:p w14:paraId="53D13D8D" w14:textId="77777777" w:rsidR="00260F3A" w:rsidRDefault="00260F3A" w:rsidP="00260F3A">
      <w:pPr>
        <w:pStyle w:val="ListParagraph"/>
        <w:numPr>
          <w:ilvl w:val="0"/>
          <w:numId w:val="15"/>
        </w:numPr>
        <w:spacing w:line="240" w:lineRule="auto"/>
      </w:pPr>
      <w:r>
        <w:t>In males, suppression of genitalia development ranged from 60% to 100% of subjects during the first 5 years of treatment. The mean stimulated testosterone was 347.7 ng/dL at baseline and was maintained at levels no greater than 25.3 ng/dL during the first 5 years of treatment.</w:t>
      </w:r>
    </w:p>
    <w:p w14:paraId="1D3329D5" w14:textId="31F4FA73" w:rsidR="00260F3A" w:rsidRDefault="00260F3A" w:rsidP="00260F3A">
      <w:pPr>
        <w:pStyle w:val="ListParagraph"/>
        <w:numPr>
          <w:ilvl w:val="0"/>
          <w:numId w:val="15"/>
        </w:numPr>
        <w:spacing w:line="240" w:lineRule="auto"/>
      </w:pPr>
      <w:r>
        <w:t xml:space="preserve">The mean ratio of bone age to chronological age decreased from 1.5 at baseline to 1.1 by end of treatment. The mean height standard deviation </w:t>
      </w:r>
      <w:r w:rsidR="004D0F66">
        <w:t>z-</w:t>
      </w:r>
      <w:r>
        <w:t>score changed from 1.6 at baseline to 0.7 at the end of the treatment phase</w:t>
      </w:r>
    </w:p>
    <w:p w14:paraId="4ED8A187" w14:textId="77777777" w:rsidR="00260F3A" w:rsidRPr="001D35C8" w:rsidRDefault="00260F3A" w:rsidP="001D35C8">
      <w:pPr>
        <w:spacing w:line="240" w:lineRule="auto"/>
        <w:ind w:firstLine="720"/>
        <w:rPr>
          <w:b/>
        </w:rPr>
      </w:pPr>
      <w:r w:rsidRPr="001D35C8">
        <w:rPr>
          <w:b/>
        </w:rPr>
        <w:lastRenderedPageBreak/>
        <w:t>LUPRON DEPOT-PED 11.25 mg or 30 mg for 3-month administration</w:t>
      </w:r>
    </w:p>
    <w:p w14:paraId="67B98704" w14:textId="77777777" w:rsidR="00260F3A" w:rsidRDefault="00260F3A" w:rsidP="00260F3A">
      <w:pPr>
        <w:pStyle w:val="ListParagraph"/>
        <w:numPr>
          <w:ilvl w:val="0"/>
          <w:numId w:val="15"/>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14:paraId="537D8F86" w14:textId="77777777" w:rsidR="00260F3A" w:rsidRDefault="00260F3A" w:rsidP="00260F3A">
      <w:pPr>
        <w:pStyle w:val="ListParagraph"/>
        <w:numPr>
          <w:ilvl w:val="0"/>
          <w:numId w:val="15"/>
        </w:numPr>
        <w:spacing w:line="240" w:lineRule="auto"/>
      </w:pPr>
      <w:r>
        <w:t xml:space="preserve">The percentage of treatment naïve subjects with suppression of peak-stimulated LH to &lt; 4.0 </w:t>
      </w:r>
      <w:proofErr w:type="spellStart"/>
      <w:r>
        <w:t>mIU</w:t>
      </w:r>
      <w:proofErr w:type="spellEnd"/>
      <w:r>
        <w:t>/mL, as determined by assessments at months 2, 3 and 6 is 76.2 % in the 11.25 mg dose and 90.5% in the 30 mg dose.</w:t>
      </w:r>
    </w:p>
    <w:p w14:paraId="12F7F72D" w14:textId="77777777" w:rsidR="00260F3A" w:rsidRDefault="00260F3A" w:rsidP="00260F3A">
      <w:pPr>
        <w:pStyle w:val="ListParagraph"/>
        <w:numPr>
          <w:ilvl w:val="0"/>
          <w:numId w:val="15"/>
        </w:numPr>
        <w:spacing w:line="240" w:lineRule="auto"/>
      </w:pPr>
      <w:r>
        <w:t>For the LUPRON DEPOT-PED 11.25 mg dose for 3-month administration, 93% (39/42) of subjects and for LUPRON DEPOT-PED 30 mg dose for 3-month administration 100% (42/42) of subjects had sex steroid (estradiol or testosterone) suppressed to prepubertal levels at all visits.</w:t>
      </w:r>
    </w:p>
    <w:p w14:paraId="4DD2379D" w14:textId="77777777" w:rsidR="00260F3A" w:rsidRDefault="00260F3A" w:rsidP="00260F3A">
      <w:pPr>
        <w:pStyle w:val="ListParagraph"/>
        <w:numPr>
          <w:ilvl w:val="0"/>
          <w:numId w:val="15"/>
        </w:numPr>
        <w:spacing w:line="240" w:lineRule="auto"/>
      </w:pPr>
      <w:r>
        <w:t>Clinical suppression of puberty in female patients was observed in 29 of 32 (90.6%) and 28 of 34 (82.4%) of patients in the 11.25 mg and 30 mg groups, respectively, at month 6.</w:t>
      </w:r>
    </w:p>
    <w:p w14:paraId="14AC59B4" w14:textId="77777777" w:rsidR="00260F3A" w:rsidRDefault="00260F3A" w:rsidP="00260F3A">
      <w:pPr>
        <w:pStyle w:val="ListParagraph"/>
        <w:numPr>
          <w:ilvl w:val="0"/>
          <w:numId w:val="15"/>
        </w:numPr>
        <w:spacing w:line="240" w:lineRule="auto"/>
      </w:pPr>
      <w:r>
        <w:t>Clinical suppression of puberty in males was observed in 1 of 2 (50.0%) and 2 of 5 (40.0%) patients in the 11.25 mg and 30 mg groups, respectively, at month 6.</w:t>
      </w:r>
    </w:p>
    <w:p w14:paraId="32FA15CC" w14:textId="77777777" w:rsidR="00260F3A" w:rsidRDefault="00260F3A" w:rsidP="00260F3A">
      <w:pPr>
        <w:pStyle w:val="ListParagraph"/>
        <w:numPr>
          <w:ilvl w:val="0"/>
          <w:numId w:val="15"/>
        </w:numPr>
        <w:spacing w:line="240" w:lineRule="auto"/>
      </w:pPr>
      <w:r>
        <w:t>In subjects with complete data for bone age, 29 of 33 (87.9 %) in the 11.25 mg group and 30 of 40 in the 30 mg group (75.0% ) had a decrease in the ratio of bone age to chronological age at month 6 compared to screening.</w:t>
      </w:r>
    </w:p>
    <w:p w14:paraId="3F2310EC" w14:textId="77777777" w:rsidR="00260F3A" w:rsidRDefault="00260F3A" w:rsidP="00260F3A">
      <w:pPr>
        <w:spacing w:line="240" w:lineRule="auto"/>
      </w:pPr>
      <w:r w:rsidRPr="004B09A1">
        <w:t>For additional information on this topic, please contact AbbVie Medical Information (</w:t>
      </w:r>
      <w:hyperlink r:id="rId9" w:history="1">
        <w:r w:rsidRPr="00625295">
          <w:rPr>
            <w:rStyle w:val="Hyperlink"/>
          </w:rPr>
          <w:t>www.abbviemedinfo.com</w:t>
        </w:r>
      </w:hyperlink>
      <w:r w:rsidRPr="004B09A1">
        <w:t>).</w:t>
      </w:r>
    </w:p>
    <w:p w14:paraId="3F4CF118" w14:textId="77777777" w:rsidR="00260F3A" w:rsidRDefault="00260F3A" w:rsidP="00260F3A">
      <w:pPr>
        <w:spacing w:line="240" w:lineRule="auto"/>
        <w:rPr>
          <w:b/>
        </w:rPr>
      </w:pPr>
      <w:r w:rsidRPr="00866D89">
        <w:rPr>
          <w:b/>
        </w:rPr>
        <w:t>Clinical Consideration:</w:t>
      </w:r>
      <w:r>
        <w:rPr>
          <w:b/>
        </w:rPr>
        <w:t xml:space="preserve"> </w:t>
      </w:r>
      <w:r w:rsidRPr="00815C54">
        <w:rPr>
          <w:b/>
        </w:rPr>
        <w:t>Patient treatment intolerance or previous treatment failure</w:t>
      </w:r>
    </w:p>
    <w:p w14:paraId="05CA0AE0" w14:textId="0B663C45" w:rsidR="00260F3A" w:rsidRDefault="004D0F66" w:rsidP="00260F3A">
      <w:pPr>
        <w:spacing w:line="240" w:lineRule="auto"/>
      </w:pPr>
      <w:r>
        <w:t xml:space="preserve">LUPRON DEPOT-PED </w:t>
      </w:r>
      <w:r w:rsidRPr="004D0F66">
        <w:rPr>
          <w:rFonts w:cstheme="minorHAnsi"/>
          <w:color w:val="000000"/>
        </w:rPr>
        <w:t>is indicated for the treatment of pediatric patients with central precocious puberty (CPP</w:t>
      </w:r>
      <w:r w:rsidR="00260F3A">
        <w:t>).</w:t>
      </w:r>
    </w:p>
    <w:p w14:paraId="330FEF18" w14:textId="77777777" w:rsidR="00260F3A" w:rsidRPr="00752896" w:rsidRDefault="00260F3A" w:rsidP="00260F3A">
      <w:pPr>
        <w:spacing w:line="240" w:lineRule="auto"/>
        <w:rPr>
          <w:b/>
        </w:rPr>
      </w:pPr>
      <w:r>
        <w:t>Patient does not have hypersensitivity to GnRH, GnRH agonists or any of the excipients in LUPRON DEPOT</w:t>
      </w:r>
      <w:r w:rsidR="00DE5D7B">
        <w:t>-</w:t>
      </w:r>
      <w:r>
        <w:t>PED, and is not pregnant or planning to become pregnant.</w:t>
      </w:r>
    </w:p>
    <w:p w14:paraId="05543CA5" w14:textId="77777777" w:rsidR="00260F3A" w:rsidRDefault="00260F3A" w:rsidP="00260F3A">
      <w:pPr>
        <w:pStyle w:val="ListParagraph"/>
        <w:spacing w:line="240" w:lineRule="auto"/>
        <w:rPr>
          <w:b/>
        </w:rPr>
      </w:pPr>
      <w:r w:rsidRPr="000A047D">
        <w:rPr>
          <w:b/>
        </w:rPr>
        <w:t>LUPRON DEPOT-PED 11.25 mg or 30 mg for 3-month administration</w:t>
      </w:r>
    </w:p>
    <w:p w14:paraId="0BA74004" w14:textId="77777777" w:rsidR="00260F3A" w:rsidRDefault="00260F3A" w:rsidP="00260F3A">
      <w:pPr>
        <w:pStyle w:val="ListParagraph"/>
        <w:numPr>
          <w:ilvl w:val="0"/>
          <w:numId w:val="16"/>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14:paraId="2A4F842A" w14:textId="77777777" w:rsidR="00260F3A" w:rsidRDefault="00260F3A" w:rsidP="00260F3A">
      <w:pPr>
        <w:pStyle w:val="ListParagraph"/>
        <w:numPr>
          <w:ilvl w:val="0"/>
          <w:numId w:val="16"/>
        </w:numPr>
        <w:spacing w:line="240" w:lineRule="auto"/>
      </w:pPr>
      <w:r>
        <w:t xml:space="preserve">The percentage of treatment experienced subjects with suppression of peak-stimulated LH to &lt; 4.0 </w:t>
      </w:r>
      <w:proofErr w:type="spellStart"/>
      <w:r>
        <w:t>mIU</w:t>
      </w:r>
      <w:proofErr w:type="spellEnd"/>
      <w:r>
        <w:t>/mL, as determined by assessments at months 2, 3 and 6 is 81.0 % in the 11.25 mg dose and 100% in the 30 mg dose.</w:t>
      </w:r>
    </w:p>
    <w:p w14:paraId="478E0744" w14:textId="77777777" w:rsidR="00260F3A" w:rsidRDefault="00260F3A" w:rsidP="00260F3A">
      <w:pPr>
        <w:pStyle w:val="ListParagraph"/>
        <w:numPr>
          <w:ilvl w:val="0"/>
          <w:numId w:val="16"/>
        </w:numPr>
        <w:spacing w:line="240" w:lineRule="auto"/>
      </w:pPr>
      <w:r>
        <w:t>For the LUPRON DEPOT-PED 11.25 mg dose for 3-month administration, 93% (39/42) of subjects and for LUPRON DEPOT-PED 30 mg dose for 3-month administration 100% (42/42) of subjects had sex steroid (estradiol or testosterone) suppressed to prepubertal levels at all visits.</w:t>
      </w:r>
    </w:p>
    <w:p w14:paraId="2EB98489" w14:textId="77777777" w:rsidR="00260F3A" w:rsidRDefault="00260F3A" w:rsidP="00260F3A">
      <w:pPr>
        <w:pStyle w:val="ListParagraph"/>
        <w:numPr>
          <w:ilvl w:val="0"/>
          <w:numId w:val="16"/>
        </w:numPr>
        <w:spacing w:line="240" w:lineRule="auto"/>
      </w:pPr>
      <w:r>
        <w:t>Clinical suppression of puberty in female patients was observed in 29 of 32 (90.6%) and 28 of 34 (82.4%) of patients in the 11.25 mg and 30 mg groups, respectively, at month 6.</w:t>
      </w:r>
    </w:p>
    <w:p w14:paraId="1E1E4487" w14:textId="77777777" w:rsidR="00260F3A" w:rsidRDefault="00260F3A" w:rsidP="00260F3A">
      <w:pPr>
        <w:pStyle w:val="ListParagraph"/>
        <w:numPr>
          <w:ilvl w:val="0"/>
          <w:numId w:val="16"/>
        </w:numPr>
        <w:spacing w:line="240" w:lineRule="auto"/>
      </w:pPr>
      <w:r>
        <w:t xml:space="preserve">Clinical suppression of puberty in males was observed in 1 of 2 (50.0%) and 2 of 5 (40.0%) patients in the </w:t>
      </w:r>
      <w:r w:rsidR="00DE5D7B">
        <w:br/>
      </w:r>
      <w:r>
        <w:t>11.25 mg and 30 mg groups, respectively, at month 6.</w:t>
      </w:r>
    </w:p>
    <w:p w14:paraId="0A37B0D5" w14:textId="77777777" w:rsidR="00260F3A" w:rsidRDefault="00260F3A" w:rsidP="00260F3A">
      <w:pPr>
        <w:pStyle w:val="ListParagraph"/>
        <w:numPr>
          <w:ilvl w:val="0"/>
          <w:numId w:val="16"/>
        </w:numPr>
        <w:spacing w:line="240" w:lineRule="auto"/>
      </w:pPr>
      <w:r>
        <w:t>In subjects with complete data for bone age, 29 of 33 (87.9 %) in the 11.25 mg group and 30 of 40 in the 30 mg group (75.0% ) had a decrease in the ratio of bone age to chronological age at month 6 compared to screening.</w:t>
      </w:r>
    </w:p>
    <w:p w14:paraId="1587A14A" w14:textId="77777777" w:rsidR="00260F3A" w:rsidRDefault="00260F3A" w:rsidP="00260F3A">
      <w:pPr>
        <w:spacing w:line="240" w:lineRule="auto"/>
      </w:pPr>
      <w:r w:rsidRPr="004B09A1">
        <w:t>For additional information on this topic, please contact AbbVie Medical Information (</w:t>
      </w:r>
      <w:hyperlink r:id="rId10" w:history="1">
        <w:r w:rsidRPr="00625295">
          <w:rPr>
            <w:rStyle w:val="Hyperlink"/>
          </w:rPr>
          <w:t>www.abbviemedinfo.com</w:t>
        </w:r>
      </w:hyperlink>
      <w:r w:rsidRPr="004B09A1">
        <w:t>).</w:t>
      </w:r>
    </w:p>
    <w:p w14:paraId="0F43596B" w14:textId="77777777" w:rsidR="00260F3A" w:rsidRPr="000942C2" w:rsidRDefault="00260F3A" w:rsidP="00260F3A">
      <w:pPr>
        <w:spacing w:line="240" w:lineRule="auto"/>
        <w:rPr>
          <w:b/>
        </w:rPr>
      </w:pPr>
      <w:r w:rsidRPr="000942C2">
        <w:rPr>
          <w:b/>
        </w:rPr>
        <w:t>Clinical Consideration: Patient is currently taking Lupron Depot-PED and needs to continue therapy</w:t>
      </w:r>
      <w:r>
        <w:rPr>
          <w:b/>
        </w:rPr>
        <w:t xml:space="preserve"> </w:t>
      </w:r>
      <w:r w:rsidRPr="00897EC2">
        <w:rPr>
          <w:b/>
        </w:rPr>
        <w:t>until the appropriate time to resume normal puberty</w:t>
      </w:r>
    </w:p>
    <w:p w14:paraId="25CA26EE" w14:textId="117A5DFE" w:rsidR="00260F3A" w:rsidRDefault="004D0F66" w:rsidP="00260F3A">
      <w:pPr>
        <w:pStyle w:val="ListParagraph"/>
        <w:numPr>
          <w:ilvl w:val="0"/>
          <w:numId w:val="18"/>
        </w:numPr>
        <w:spacing w:line="240" w:lineRule="auto"/>
      </w:pPr>
      <w:r>
        <w:t xml:space="preserve">LUPRON DEPOT-PED </w:t>
      </w:r>
      <w:r w:rsidRPr="004D0F66">
        <w:rPr>
          <w:rFonts w:cstheme="minorHAnsi"/>
          <w:color w:val="000000"/>
        </w:rPr>
        <w:t>is indicated for the treatment of pediatric patients with central precocious puberty (CPP</w:t>
      </w:r>
      <w:r w:rsidR="00260F3A">
        <w:t>).</w:t>
      </w:r>
    </w:p>
    <w:p w14:paraId="57442FC2" w14:textId="77777777" w:rsidR="00260F3A" w:rsidRDefault="00260F3A" w:rsidP="00260F3A">
      <w:pPr>
        <w:pStyle w:val="ListParagraph"/>
        <w:numPr>
          <w:ilvl w:val="0"/>
          <w:numId w:val="18"/>
        </w:numPr>
        <w:spacing w:line="240" w:lineRule="auto"/>
      </w:pPr>
      <w:r>
        <w:t>LUPRON DEPOT-PED should be discontinued at the appropriate age of onset of puberty at the discretion of the physician.</w:t>
      </w:r>
    </w:p>
    <w:p w14:paraId="6DE90143" w14:textId="77777777" w:rsidR="00260F3A" w:rsidRPr="00752896" w:rsidRDefault="00260F3A" w:rsidP="00260F3A">
      <w:pPr>
        <w:pStyle w:val="ListParagraph"/>
        <w:numPr>
          <w:ilvl w:val="0"/>
          <w:numId w:val="18"/>
        </w:numPr>
        <w:spacing w:line="240" w:lineRule="auto"/>
        <w:rPr>
          <w:b/>
        </w:rPr>
      </w:pPr>
      <w:r>
        <w:t xml:space="preserve">Patient has not experienced hypersensitivity to GnRH, GnRH agonists or any of the excipients in LUPRON </w:t>
      </w:r>
      <w:r w:rsidR="00DE5D7B">
        <w:br/>
      </w:r>
      <w:r>
        <w:t>DEPOT</w:t>
      </w:r>
      <w:r w:rsidR="00DE5D7B">
        <w:t>-</w:t>
      </w:r>
      <w:r>
        <w:t>PED, and is not pregnant or planning to become pregnant.</w:t>
      </w:r>
    </w:p>
    <w:p w14:paraId="1EE254BD" w14:textId="77777777" w:rsidR="00260F3A" w:rsidRPr="000A047D" w:rsidRDefault="00260F3A" w:rsidP="00A254E3">
      <w:pPr>
        <w:spacing w:line="240" w:lineRule="auto"/>
        <w:ind w:firstLine="720"/>
        <w:rPr>
          <w:b/>
        </w:rPr>
      </w:pPr>
      <w:r w:rsidRPr="000A047D">
        <w:rPr>
          <w:b/>
        </w:rPr>
        <w:t>LUPRON DEPOT-PED 7.5 mg, 11.25 mg, or 15 mg for 1-month administration</w:t>
      </w:r>
    </w:p>
    <w:p w14:paraId="6BD991A0" w14:textId="77777777" w:rsidR="00260F3A" w:rsidRDefault="00260F3A" w:rsidP="00260F3A">
      <w:pPr>
        <w:pStyle w:val="ListParagraph"/>
        <w:numPr>
          <w:ilvl w:val="0"/>
          <w:numId w:val="17"/>
        </w:numPr>
        <w:spacing w:line="240" w:lineRule="auto"/>
      </w:pPr>
      <w:r>
        <w:t xml:space="preserve">In an open-label study, 55 CPP subjects (49 females and 6 males, naïve to previous </w:t>
      </w:r>
      <w:proofErr w:type="spellStart"/>
      <w:r>
        <w:t>GnRHa</w:t>
      </w:r>
      <w:proofErr w:type="spellEnd"/>
      <w:r>
        <w:t xml:space="preserve"> treatment), were treated with LUPRON DEPOT-PED 1-month formulations until age appropriate for entry into puberty.</w:t>
      </w:r>
    </w:p>
    <w:p w14:paraId="14B4A575" w14:textId="77777777" w:rsidR="00260F3A" w:rsidRDefault="00260F3A" w:rsidP="00260F3A">
      <w:pPr>
        <w:pStyle w:val="ListParagraph"/>
        <w:numPr>
          <w:ilvl w:val="0"/>
          <w:numId w:val="17"/>
        </w:numPr>
        <w:spacing w:line="240" w:lineRule="auto"/>
      </w:pPr>
      <w:r>
        <w:lastRenderedPageBreak/>
        <w:t>The mean ± SD age at the start of treatment was 7 ± 2 years and the duration of treatment was 4 ± 2 years.</w:t>
      </w:r>
    </w:p>
    <w:p w14:paraId="713C3691" w14:textId="77777777" w:rsidR="00260F3A" w:rsidRDefault="00260F3A" w:rsidP="00260F3A">
      <w:pPr>
        <w:pStyle w:val="ListParagraph"/>
        <w:numPr>
          <w:ilvl w:val="0"/>
          <w:numId w:val="17"/>
        </w:numPr>
        <w:spacing w:line="240" w:lineRule="auto"/>
      </w:pPr>
      <w:r>
        <w:t>The following effects have been noted with the chronic administration of leuprolide: cessation of menses (in girls), normalization and stabilization of linear growth and bone age advancement, stabilization of clinical signs and symptoms of puberty.</w:t>
      </w:r>
    </w:p>
    <w:p w14:paraId="2E065A4E" w14:textId="77777777" w:rsidR="00260F3A" w:rsidRDefault="00260F3A" w:rsidP="00260F3A">
      <w:pPr>
        <w:pStyle w:val="ListParagraph"/>
        <w:spacing w:line="240" w:lineRule="auto"/>
      </w:pPr>
    </w:p>
    <w:p w14:paraId="44C31F1A" w14:textId="77777777" w:rsidR="00260F3A" w:rsidRPr="000A047D" w:rsidRDefault="00260F3A" w:rsidP="00260F3A">
      <w:pPr>
        <w:pStyle w:val="ListParagraph"/>
        <w:spacing w:line="240" w:lineRule="auto"/>
        <w:rPr>
          <w:b/>
        </w:rPr>
      </w:pPr>
      <w:r w:rsidRPr="000A047D">
        <w:rPr>
          <w:b/>
        </w:rPr>
        <w:t>LUPRON DEPOT-PED 11.25 mg or 30 mg for 3-month administration</w:t>
      </w:r>
    </w:p>
    <w:p w14:paraId="0C8D0E34" w14:textId="77777777" w:rsidR="00260F3A" w:rsidRDefault="00260F3A" w:rsidP="00260F3A">
      <w:pPr>
        <w:pStyle w:val="ListParagraph"/>
        <w:numPr>
          <w:ilvl w:val="0"/>
          <w:numId w:val="17"/>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14:paraId="1A6687A2" w14:textId="77777777" w:rsidR="00260F3A" w:rsidRDefault="00260F3A" w:rsidP="00260F3A">
      <w:pPr>
        <w:spacing w:line="240" w:lineRule="auto"/>
      </w:pPr>
      <w:r w:rsidRPr="004B09A1">
        <w:t>For additional information on this topic, please contact AbbVie Medical Information (</w:t>
      </w:r>
      <w:hyperlink r:id="rId11" w:history="1">
        <w:r w:rsidRPr="00625295">
          <w:rPr>
            <w:rStyle w:val="Hyperlink"/>
          </w:rPr>
          <w:t>www.abbviemedinfo.com</w:t>
        </w:r>
      </w:hyperlink>
      <w:r w:rsidRPr="004B09A1">
        <w:t>).</w:t>
      </w:r>
    </w:p>
    <w:p w14:paraId="6A6E01CE" w14:textId="77777777" w:rsidR="00260F3A" w:rsidRPr="00815C54" w:rsidRDefault="00260F3A" w:rsidP="00260F3A">
      <w:pPr>
        <w:spacing w:line="240" w:lineRule="auto"/>
        <w:rPr>
          <w:b/>
        </w:rPr>
      </w:pPr>
    </w:p>
    <w:p w14:paraId="19481F45" w14:textId="77777777" w:rsidR="000C6C7C" w:rsidRPr="004B093B" w:rsidRDefault="000C6C7C" w:rsidP="00260F3A">
      <w:pPr>
        <w:spacing w:after="120" w:line="240" w:lineRule="auto"/>
        <w:contextualSpacing/>
        <w:rPr>
          <w:rFonts w:ascii="Calibri" w:hAnsi="Calibri" w:cstheme="minorHAnsi"/>
        </w:rPr>
      </w:pPr>
      <w:r w:rsidRPr="004B093B">
        <w:rPr>
          <w:rFonts w:ascii="Calibri" w:hAnsi="Calibri" w:cstheme="minorHAnsi"/>
        </w:rPr>
        <w:t xml:space="preserve">If I can provide any additional information, please contact me at </w:t>
      </w:r>
      <w:r w:rsidRPr="001D623E">
        <w:rPr>
          <w:rFonts w:ascii="Calibri" w:hAnsi="Calibri" w:cstheme="minorHAnsi"/>
          <w:color w:val="FF0000"/>
        </w:rPr>
        <w:t>&lt;VARIABLE PHONE/FAX NUMBER&gt;</w:t>
      </w:r>
      <w:r w:rsidRPr="004B093B">
        <w:rPr>
          <w:rFonts w:ascii="Calibri" w:hAnsi="Calibri" w:cstheme="minorHAnsi"/>
        </w:rPr>
        <w:t xml:space="preserve"> to ensure the prompt approval of this course of treatment. </w:t>
      </w:r>
    </w:p>
    <w:p w14:paraId="7EE44EF6" w14:textId="77777777" w:rsidR="000C6C7C" w:rsidRPr="004B093B" w:rsidRDefault="000C6C7C" w:rsidP="00260F3A">
      <w:pPr>
        <w:autoSpaceDE w:val="0"/>
        <w:autoSpaceDN w:val="0"/>
        <w:adjustRightInd w:val="0"/>
        <w:spacing w:after="120" w:line="240" w:lineRule="auto"/>
        <w:contextualSpacing/>
        <w:rPr>
          <w:rFonts w:ascii="Calibri" w:hAnsi="Calibri" w:cstheme="minorHAnsi"/>
        </w:rPr>
      </w:pPr>
    </w:p>
    <w:p w14:paraId="17B63CB7" w14:textId="77777777" w:rsidR="00D37F70" w:rsidRDefault="000C6C7C" w:rsidP="00260F3A">
      <w:pPr>
        <w:autoSpaceDE w:val="0"/>
        <w:autoSpaceDN w:val="0"/>
        <w:adjustRightInd w:val="0"/>
        <w:spacing w:after="240" w:line="240" w:lineRule="auto"/>
        <w:contextualSpacing/>
        <w:rPr>
          <w:rFonts w:ascii="Calibri" w:hAnsi="Calibri" w:cstheme="minorHAnsi"/>
        </w:rPr>
      </w:pPr>
      <w:r w:rsidRPr="004B093B">
        <w:rPr>
          <w:rFonts w:ascii="Calibri" w:hAnsi="Calibri" w:cstheme="minorHAnsi"/>
        </w:rPr>
        <w:t>Regards,</w:t>
      </w:r>
    </w:p>
    <w:p w14:paraId="4543EA02" w14:textId="77777777" w:rsidR="00871464" w:rsidRPr="003276B3" w:rsidRDefault="00926156" w:rsidP="001D35C8">
      <w:pPr>
        <w:autoSpaceDE w:val="0"/>
        <w:autoSpaceDN w:val="0"/>
        <w:adjustRightInd w:val="0"/>
        <w:spacing w:after="120" w:line="240" w:lineRule="auto"/>
        <w:contextualSpacing/>
        <w:rPr>
          <w:rFonts w:ascii="Calibri" w:hAnsi="Calibri" w:cstheme="minorHAnsi"/>
        </w:rPr>
        <w:sectPr w:rsidR="00871464" w:rsidRPr="003276B3" w:rsidSect="00AE1B3B">
          <w:footerReference w:type="default" r:id="rId12"/>
          <w:type w:val="continuous"/>
          <w:pgSz w:w="12240" w:h="15840"/>
          <w:pgMar w:top="720" w:right="720" w:bottom="720" w:left="720" w:header="360" w:footer="407" w:gutter="0"/>
          <w:cols w:space="720"/>
          <w:docGrid w:linePitch="360"/>
        </w:sectPr>
      </w:pPr>
      <w:r>
        <w:rPr>
          <w:rFonts w:ascii="Calibri" w:hAnsi="Calibri" w:cstheme="minorHAnsi"/>
          <w:color w:val="FF0000"/>
        </w:rPr>
        <w:t>&lt;VARIABLE PHYSICIAN NAME&gt;</w:t>
      </w:r>
    </w:p>
    <w:p w14:paraId="59752B09" w14:textId="77777777" w:rsidR="000C6C7C" w:rsidRDefault="000C6C7C" w:rsidP="00260F3A">
      <w:pPr>
        <w:spacing w:after="120" w:line="240" w:lineRule="auto"/>
        <w:contextualSpacing/>
        <w:rPr>
          <w:rFonts w:ascii="Calibri" w:hAnsi="Calibri" w:cstheme="minorHAnsi"/>
          <w:sz w:val="20"/>
          <w:szCs w:val="20"/>
        </w:rPr>
      </w:pPr>
    </w:p>
    <w:p w14:paraId="7F00F014" w14:textId="77777777" w:rsidR="00554069" w:rsidRDefault="00554069" w:rsidP="00260F3A">
      <w:pPr>
        <w:spacing w:after="120" w:line="240" w:lineRule="auto"/>
        <w:contextualSpacing/>
        <w:rPr>
          <w:rFonts w:ascii="Calibri" w:hAnsi="Calibri" w:cstheme="minorHAnsi"/>
          <w:sz w:val="20"/>
          <w:szCs w:val="20"/>
        </w:rPr>
      </w:pPr>
    </w:p>
    <w:p w14:paraId="62071A1D" w14:textId="77777777" w:rsidR="00554069" w:rsidRDefault="00554069" w:rsidP="00260F3A">
      <w:pPr>
        <w:spacing w:after="120" w:line="240" w:lineRule="auto"/>
        <w:contextualSpacing/>
        <w:rPr>
          <w:rFonts w:ascii="Calibri" w:hAnsi="Calibri" w:cstheme="minorHAnsi"/>
          <w:sz w:val="20"/>
          <w:szCs w:val="20"/>
        </w:rPr>
      </w:pPr>
    </w:p>
    <w:p w14:paraId="4581A546" w14:textId="77777777" w:rsidR="00554069" w:rsidRDefault="00554069" w:rsidP="00260F3A">
      <w:pPr>
        <w:spacing w:after="120" w:line="240" w:lineRule="auto"/>
        <w:contextualSpacing/>
        <w:rPr>
          <w:rFonts w:ascii="Calibri" w:hAnsi="Calibri" w:cstheme="minorHAnsi"/>
          <w:sz w:val="20"/>
          <w:szCs w:val="20"/>
        </w:rPr>
      </w:pPr>
    </w:p>
    <w:p w14:paraId="19AE46FF" w14:textId="77777777" w:rsidR="003276B3" w:rsidRDefault="003276B3" w:rsidP="00926156">
      <w:pPr>
        <w:spacing w:line="240" w:lineRule="auto"/>
        <w:rPr>
          <w:rFonts w:cs="Arial"/>
          <w:b/>
          <w:sz w:val="20"/>
          <w:szCs w:val="20"/>
        </w:rPr>
      </w:pPr>
    </w:p>
    <w:p w14:paraId="4DE672F0" w14:textId="77777777" w:rsidR="00554069" w:rsidRDefault="00554069" w:rsidP="00926156">
      <w:pPr>
        <w:spacing w:line="240" w:lineRule="auto"/>
        <w:rPr>
          <w:rFonts w:cs="Arial"/>
          <w:b/>
          <w:sz w:val="20"/>
          <w:szCs w:val="20"/>
        </w:rPr>
      </w:pPr>
    </w:p>
    <w:p w14:paraId="1CD433E9" w14:textId="77777777" w:rsidR="00554069" w:rsidRDefault="00554069" w:rsidP="00926156">
      <w:pPr>
        <w:spacing w:line="240" w:lineRule="auto"/>
        <w:rPr>
          <w:rFonts w:cs="Arial"/>
          <w:b/>
          <w:sz w:val="20"/>
          <w:szCs w:val="20"/>
        </w:rPr>
      </w:pPr>
    </w:p>
    <w:p w14:paraId="13D83981" w14:textId="77777777" w:rsidR="00554069" w:rsidRDefault="00554069" w:rsidP="00926156">
      <w:pPr>
        <w:spacing w:line="240" w:lineRule="auto"/>
        <w:rPr>
          <w:rFonts w:cs="Arial"/>
          <w:b/>
          <w:sz w:val="20"/>
          <w:szCs w:val="20"/>
        </w:rPr>
      </w:pPr>
    </w:p>
    <w:p w14:paraId="6922C4C1" w14:textId="77777777" w:rsidR="00554069" w:rsidRDefault="00554069" w:rsidP="00926156">
      <w:pPr>
        <w:spacing w:line="240" w:lineRule="auto"/>
        <w:rPr>
          <w:rFonts w:cs="Arial"/>
          <w:b/>
          <w:sz w:val="20"/>
          <w:szCs w:val="20"/>
        </w:rPr>
      </w:pPr>
    </w:p>
    <w:p w14:paraId="75E31779" w14:textId="77777777" w:rsidR="00554069" w:rsidRDefault="00554069" w:rsidP="00926156">
      <w:pPr>
        <w:spacing w:line="240" w:lineRule="auto"/>
        <w:rPr>
          <w:rFonts w:cs="Arial"/>
          <w:b/>
          <w:sz w:val="20"/>
          <w:szCs w:val="20"/>
        </w:rPr>
      </w:pPr>
    </w:p>
    <w:p w14:paraId="2408645C" w14:textId="77777777" w:rsidR="00554069" w:rsidRDefault="00554069" w:rsidP="00926156">
      <w:pPr>
        <w:spacing w:line="240" w:lineRule="auto"/>
        <w:rPr>
          <w:rFonts w:cs="Arial"/>
          <w:b/>
          <w:sz w:val="20"/>
          <w:szCs w:val="20"/>
        </w:rPr>
      </w:pPr>
    </w:p>
    <w:p w14:paraId="70FEEA5F" w14:textId="77777777" w:rsidR="00554069" w:rsidRDefault="00554069" w:rsidP="00926156">
      <w:pPr>
        <w:spacing w:line="240" w:lineRule="auto"/>
        <w:rPr>
          <w:rFonts w:cs="Arial"/>
          <w:b/>
          <w:sz w:val="20"/>
          <w:szCs w:val="20"/>
        </w:rPr>
      </w:pPr>
    </w:p>
    <w:p w14:paraId="7E722D41" w14:textId="77777777" w:rsidR="00554069" w:rsidRDefault="00554069" w:rsidP="00926156">
      <w:pPr>
        <w:spacing w:line="240" w:lineRule="auto"/>
        <w:rPr>
          <w:rFonts w:cs="Arial"/>
          <w:b/>
          <w:sz w:val="20"/>
          <w:szCs w:val="20"/>
        </w:rPr>
      </w:pPr>
    </w:p>
    <w:p w14:paraId="7D3F026F" w14:textId="77777777" w:rsidR="00554069" w:rsidRDefault="00554069" w:rsidP="00926156">
      <w:pPr>
        <w:spacing w:line="240" w:lineRule="auto"/>
        <w:rPr>
          <w:rFonts w:cs="Arial"/>
          <w:b/>
          <w:sz w:val="20"/>
          <w:szCs w:val="20"/>
        </w:rPr>
      </w:pPr>
    </w:p>
    <w:p w14:paraId="754D44D9" w14:textId="77777777" w:rsidR="00554069" w:rsidRDefault="00554069" w:rsidP="00926156">
      <w:pPr>
        <w:spacing w:line="240" w:lineRule="auto"/>
        <w:rPr>
          <w:rFonts w:cs="Arial"/>
          <w:b/>
          <w:sz w:val="20"/>
          <w:szCs w:val="20"/>
        </w:rPr>
      </w:pPr>
    </w:p>
    <w:p w14:paraId="305721A8" w14:textId="77777777" w:rsidR="00554069" w:rsidRDefault="00554069" w:rsidP="00926156">
      <w:pPr>
        <w:spacing w:line="240" w:lineRule="auto"/>
        <w:rPr>
          <w:rFonts w:cs="Arial"/>
          <w:b/>
          <w:sz w:val="20"/>
          <w:szCs w:val="20"/>
        </w:rPr>
      </w:pPr>
    </w:p>
    <w:p w14:paraId="19B3085E" w14:textId="77777777" w:rsidR="00554069" w:rsidRDefault="00554069" w:rsidP="00926156">
      <w:pPr>
        <w:spacing w:line="240" w:lineRule="auto"/>
        <w:rPr>
          <w:rFonts w:cs="Arial"/>
          <w:b/>
          <w:sz w:val="20"/>
          <w:szCs w:val="20"/>
        </w:rPr>
      </w:pPr>
    </w:p>
    <w:p w14:paraId="0454CBEE" w14:textId="77777777" w:rsidR="00554069" w:rsidRDefault="00554069" w:rsidP="00926156">
      <w:pPr>
        <w:spacing w:line="240" w:lineRule="auto"/>
        <w:rPr>
          <w:rFonts w:cs="Arial"/>
          <w:b/>
          <w:sz w:val="20"/>
          <w:szCs w:val="20"/>
        </w:rPr>
      </w:pPr>
    </w:p>
    <w:p w14:paraId="44200B67" w14:textId="77777777" w:rsidR="00554069" w:rsidRDefault="00554069" w:rsidP="00926156">
      <w:pPr>
        <w:spacing w:line="240" w:lineRule="auto"/>
        <w:rPr>
          <w:rFonts w:cs="Arial"/>
          <w:b/>
          <w:sz w:val="20"/>
          <w:szCs w:val="20"/>
        </w:rPr>
      </w:pPr>
    </w:p>
    <w:p w14:paraId="1C625320" w14:textId="77777777" w:rsidR="00554069" w:rsidRDefault="00554069" w:rsidP="00926156">
      <w:pPr>
        <w:spacing w:line="240" w:lineRule="auto"/>
        <w:rPr>
          <w:rFonts w:cs="Arial"/>
          <w:b/>
          <w:sz w:val="20"/>
          <w:szCs w:val="20"/>
        </w:rPr>
      </w:pPr>
    </w:p>
    <w:p w14:paraId="031BAAE6" w14:textId="77777777" w:rsidR="00554069" w:rsidRDefault="00EC53D6" w:rsidP="00926156">
      <w:pPr>
        <w:spacing w:line="240" w:lineRule="auto"/>
        <w:rPr>
          <w:rFonts w:cs="Arial"/>
          <w:b/>
          <w:sz w:val="20"/>
          <w:szCs w:val="20"/>
        </w:rPr>
      </w:pPr>
      <w:r w:rsidRPr="00EC53D6">
        <w:rPr>
          <w:b/>
          <w:noProof/>
        </w:rPr>
        <mc:AlternateContent>
          <mc:Choice Requires="wps">
            <w:drawing>
              <wp:anchor distT="0" distB="0" distL="114300" distR="114300" simplePos="0" relativeHeight="251659264" behindDoc="0" locked="0" layoutInCell="1" allowOverlap="1" wp14:anchorId="71FDEE16" wp14:editId="44DE41F7">
                <wp:simplePos x="0" y="0"/>
                <wp:positionH relativeFrom="column">
                  <wp:posOffset>-93306</wp:posOffset>
                </wp:positionH>
                <wp:positionV relativeFrom="paragraph">
                  <wp:posOffset>817025</wp:posOffset>
                </wp:positionV>
                <wp:extent cx="4366726"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726" cy="255905"/>
                        </a:xfrm>
                        <a:prstGeom prst="rect">
                          <a:avLst/>
                        </a:prstGeom>
                        <a:noFill/>
                        <a:ln w="9525">
                          <a:noFill/>
                          <a:miter lim="800000"/>
                          <a:headEnd/>
                          <a:tailEnd/>
                        </a:ln>
                      </wps:spPr>
                      <wps:txbx>
                        <w:txbxContent>
                          <w:p w14:paraId="4CCD0250" w14:textId="6A32CD03" w:rsidR="00EC53D6" w:rsidRPr="00EC53D6" w:rsidRDefault="00EC53D6" w:rsidP="00EC53D6">
                            <w:pPr>
                              <w:pStyle w:val="Footer"/>
                              <w:rPr>
                                <w:b/>
                              </w:rPr>
                            </w:pPr>
                            <w:r w:rsidRPr="00EC53D6">
                              <w:t>©</w:t>
                            </w:r>
                            <w:r w:rsidR="004D0F66">
                              <w:t>2021</w:t>
                            </w:r>
                            <w:r w:rsidRPr="00EC53D6">
                              <w:t xml:space="preserve"> AbbVie Inc.   North Chicago, IL 60064   </w:t>
                            </w:r>
                            <w:r w:rsidRPr="00EC53D6">
                              <w:rPr>
                                <w:rFonts w:cs="Arial"/>
                                <w:shd w:val="clear" w:color="auto" w:fill="FFFFFF"/>
                              </w:rPr>
                              <w:t>US-LUPR-</w:t>
                            </w:r>
                            <w:r w:rsidR="004D0F66">
                              <w:rPr>
                                <w:rFonts w:cs="Arial"/>
                                <w:shd w:val="clear" w:color="auto" w:fill="FFFFFF"/>
                              </w:rPr>
                              <w:t>210213</w:t>
                            </w:r>
                            <w:r w:rsidRPr="00EC53D6">
                              <w:rPr>
                                <w:rFonts w:cs="Arial"/>
                                <w:shd w:val="clear" w:color="auto" w:fill="FFFFFF"/>
                              </w:rPr>
                              <w:t xml:space="preserve">   </w:t>
                            </w:r>
                            <w:r w:rsidR="004D0F66">
                              <w:t>April</w:t>
                            </w:r>
                            <w:r w:rsidRPr="00EC53D6">
                              <w:t xml:space="preserve"> 20</w:t>
                            </w:r>
                            <w:r w:rsidR="004D0F66">
                              <w:t>21</w:t>
                            </w:r>
                          </w:p>
                          <w:p w14:paraId="6FDE988B" w14:textId="77777777" w:rsidR="00EC53D6" w:rsidRDefault="00EC5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DEE16" id="_x0000_t202" coordsize="21600,21600" o:spt="202" path="m,l,21600r21600,l21600,xe">
                <v:stroke joinstyle="miter"/>
                <v:path gradientshapeok="t" o:connecttype="rect"/>
              </v:shapetype>
              <v:shape id="Text Box 2" o:spid="_x0000_s1026" type="#_x0000_t202" style="position:absolute;margin-left:-7.35pt;margin-top:64.35pt;width:343.8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DyDQIAAPQDAAAOAAAAZHJzL2Uyb0RvYy54bWysU21v2yAQ/j5p/wHxfbHjx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" filled="f" stroked="f">
                <v:textbox>
                  <w:txbxContent>
                    <w:p w14:paraId="4CCD0250" w14:textId="6A32CD03" w:rsidR="00EC53D6" w:rsidRPr="00EC53D6" w:rsidRDefault="00EC53D6" w:rsidP="00EC53D6">
                      <w:pPr>
                        <w:pStyle w:val="Footer"/>
                        <w:rPr>
                          <w:b/>
                        </w:rPr>
                      </w:pPr>
                      <w:r w:rsidRPr="00EC53D6">
                        <w:t>©</w:t>
                      </w:r>
                      <w:r w:rsidR="004D0F66">
                        <w:t>2021</w:t>
                      </w:r>
                      <w:r w:rsidRPr="00EC53D6">
                        <w:t xml:space="preserve"> AbbVie Inc.   North Chicago, IL 60064   </w:t>
                      </w:r>
                      <w:r w:rsidRPr="00EC53D6">
                        <w:rPr>
                          <w:rFonts w:cs="Arial"/>
                          <w:shd w:val="clear" w:color="auto" w:fill="FFFFFF"/>
                        </w:rPr>
                        <w:t>US-LUPR-</w:t>
                      </w:r>
                      <w:r w:rsidR="004D0F66">
                        <w:rPr>
                          <w:rFonts w:cs="Arial"/>
                          <w:shd w:val="clear" w:color="auto" w:fill="FFFFFF"/>
                        </w:rPr>
                        <w:t>210213</w:t>
                      </w:r>
                      <w:r w:rsidRPr="00EC53D6">
                        <w:rPr>
                          <w:rFonts w:cs="Arial"/>
                          <w:shd w:val="clear" w:color="auto" w:fill="FFFFFF"/>
                        </w:rPr>
                        <w:t xml:space="preserve">   </w:t>
                      </w:r>
                      <w:r w:rsidR="004D0F66">
                        <w:t>April</w:t>
                      </w:r>
                      <w:r w:rsidRPr="00EC53D6">
                        <w:t xml:space="preserve"> 20</w:t>
                      </w:r>
                      <w:r w:rsidR="004D0F66">
                        <w:t>21</w:t>
                      </w:r>
                    </w:p>
                    <w:p w14:paraId="6FDE988B" w14:textId="77777777" w:rsidR="00EC53D6" w:rsidRDefault="00EC53D6"/>
                  </w:txbxContent>
                </v:textbox>
              </v:shape>
            </w:pict>
          </mc:Fallback>
        </mc:AlternateContent>
      </w:r>
    </w:p>
    <w:sectPr w:rsidR="00554069" w:rsidSect="00EC53D6">
      <w:footerReference w:type="default" r:id="rId13"/>
      <w:type w:val="continuous"/>
      <w:pgSz w:w="12240" w:h="15840"/>
      <w:pgMar w:top="720" w:right="720" w:bottom="270" w:left="720" w:header="36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268D" w14:textId="77777777" w:rsidR="00D86A3A" w:rsidRDefault="00D86A3A" w:rsidP="00354513">
      <w:pPr>
        <w:spacing w:after="0" w:line="240" w:lineRule="auto"/>
      </w:pPr>
      <w:r>
        <w:separator/>
      </w:r>
    </w:p>
  </w:endnote>
  <w:endnote w:type="continuationSeparator" w:id="0">
    <w:p w14:paraId="408977C2" w14:textId="77777777" w:rsidR="00D86A3A" w:rsidRDefault="00D86A3A" w:rsidP="0035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Gotham Bold">
    <w:altName w:val="Gotham Bold"/>
    <w:charset w:val="00"/>
    <w:family w:val="auto"/>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215" w14:textId="77777777" w:rsidR="004F42E8" w:rsidRPr="004F42E8" w:rsidRDefault="004F42E8" w:rsidP="00D545E2">
    <w:pPr>
      <w:pStyle w:val="Footer"/>
      <w:rPr>
        <w:sz w:val="22"/>
        <w:szCs w:val="22"/>
      </w:rPr>
    </w:pPr>
    <w:r w:rsidRPr="004F42E8">
      <w:rPr>
        <w:sz w:val="22"/>
        <w:szCs w:val="22"/>
      </w:rPr>
      <w:t xml:space="preserve">Please visit </w:t>
    </w:r>
    <w:hyperlink r:id="rId1" w:history="1">
      <w:r w:rsidRPr="004F42E8">
        <w:rPr>
          <w:rStyle w:val="Hyperlink"/>
          <w:b/>
          <w:sz w:val="22"/>
          <w:szCs w:val="22"/>
        </w:rPr>
        <w:t>https://www.rxabbvie.com/pdf/lupronpediatric.pdf</w:t>
      </w:r>
    </w:hyperlink>
    <w:r w:rsidRPr="004F42E8">
      <w:rPr>
        <w:sz w:val="22"/>
        <w:szCs w:val="22"/>
      </w:rPr>
      <w:t xml:space="preserve"> for full Prescribing Information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6A11" w14:textId="77777777" w:rsidR="000A244A" w:rsidRDefault="000A244A" w:rsidP="00D545E2">
    <w:pPr>
      <w:pStyle w:val="Footer"/>
    </w:pPr>
    <w:r w:rsidRPr="000D17A1">
      <w:t xml:space="preserve">Please visit </w:t>
    </w:r>
    <w:hyperlink r:id="rId1" w:history="1">
      <w:r w:rsidR="00D5373A" w:rsidRPr="00D5373A">
        <w:rPr>
          <w:rStyle w:val="Hyperlink"/>
          <w:b/>
        </w:rPr>
        <w:t>https://www.rxabbvie.com/pdf/lupronpediatric.pdf</w:t>
      </w:r>
    </w:hyperlink>
    <w:r w:rsidR="00D5373A">
      <w:t xml:space="preserve"> </w:t>
    </w:r>
    <w:r w:rsidR="00C259C2">
      <w:t>or see accompanying</w:t>
    </w:r>
    <w:r w:rsidRPr="000D17A1">
      <w:t xml:space="preserve"> full Prescribing Information</w:t>
    </w:r>
    <w:r>
      <w:t xml:space="preserve"> </w:t>
    </w:r>
  </w:p>
  <w:p w14:paraId="560CB836" w14:textId="77777777" w:rsidR="000A244A" w:rsidRPr="000D17A1" w:rsidRDefault="000A244A" w:rsidP="00D545E2">
    <w:pPr>
      <w:pStyle w:val="Footer"/>
      <w:rPr>
        <w:b/>
      </w:rPr>
    </w:pPr>
    <w:r w:rsidRPr="003276B3">
      <w:t xml:space="preserve">©2018 AbbVie Inc.   North Chicago, </w:t>
    </w:r>
    <w:r>
      <w:t xml:space="preserve">IL 60064   </w:t>
    </w:r>
    <w:r w:rsidRPr="003276B3">
      <w:rPr>
        <w:rFonts w:cs="Arial"/>
        <w:shd w:val="clear" w:color="auto" w:fill="FFFFFF"/>
      </w:rPr>
      <w:t>US-LUPR-181906</w:t>
    </w:r>
    <w:r>
      <w:rPr>
        <w:rFonts w:cs="Arial"/>
        <w:shd w:val="clear" w:color="auto" w:fill="FFFFFF"/>
      </w:rPr>
      <w:t xml:space="preserve">   </w:t>
    </w:r>
    <w:r w:rsidRPr="003276B3">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6C9D" w14:textId="77777777" w:rsidR="00D86A3A" w:rsidRDefault="00D86A3A" w:rsidP="00354513">
      <w:pPr>
        <w:spacing w:after="0" w:line="240" w:lineRule="auto"/>
      </w:pPr>
      <w:r>
        <w:separator/>
      </w:r>
    </w:p>
  </w:footnote>
  <w:footnote w:type="continuationSeparator" w:id="0">
    <w:p w14:paraId="6A05A424" w14:textId="77777777" w:rsidR="00D86A3A" w:rsidRDefault="00D86A3A" w:rsidP="00354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C93"/>
    <w:multiLevelType w:val="hybridMultilevel"/>
    <w:tmpl w:val="081A4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A51"/>
    <w:multiLevelType w:val="hybridMultilevel"/>
    <w:tmpl w:val="9586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0106"/>
    <w:multiLevelType w:val="hybridMultilevel"/>
    <w:tmpl w:val="D13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393"/>
    <w:multiLevelType w:val="hybridMultilevel"/>
    <w:tmpl w:val="D09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749A"/>
    <w:multiLevelType w:val="hybridMultilevel"/>
    <w:tmpl w:val="E65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3D8E"/>
    <w:multiLevelType w:val="hybridMultilevel"/>
    <w:tmpl w:val="4E98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E50197"/>
    <w:multiLevelType w:val="hybridMultilevel"/>
    <w:tmpl w:val="781686B4"/>
    <w:lvl w:ilvl="0" w:tplc="0B947B16">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Symbol"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Symbol"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Symbol"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3E3D58D4"/>
    <w:multiLevelType w:val="hybridMultilevel"/>
    <w:tmpl w:val="F67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67F7A"/>
    <w:multiLevelType w:val="hybridMultilevel"/>
    <w:tmpl w:val="9D76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B3028"/>
    <w:multiLevelType w:val="hybridMultilevel"/>
    <w:tmpl w:val="47482BE2"/>
    <w:lvl w:ilvl="0" w:tplc="0B947B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A4DE2"/>
    <w:multiLevelType w:val="hybridMultilevel"/>
    <w:tmpl w:val="552A855C"/>
    <w:lvl w:ilvl="0" w:tplc="0B947B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12AB7"/>
    <w:multiLevelType w:val="hybridMultilevel"/>
    <w:tmpl w:val="54F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7363C"/>
    <w:multiLevelType w:val="hybridMultilevel"/>
    <w:tmpl w:val="B2200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572888"/>
    <w:multiLevelType w:val="hybridMultilevel"/>
    <w:tmpl w:val="F33286F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6780958"/>
    <w:multiLevelType w:val="hybridMultilevel"/>
    <w:tmpl w:val="2AB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46CF1"/>
    <w:multiLevelType w:val="hybridMultilevel"/>
    <w:tmpl w:val="ED8A7AA8"/>
    <w:lvl w:ilvl="0" w:tplc="546C1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95F50"/>
    <w:multiLevelType w:val="hybridMultilevel"/>
    <w:tmpl w:val="B7AE1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C6079"/>
    <w:multiLevelType w:val="hybridMultilevel"/>
    <w:tmpl w:val="8F96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5"/>
  </w:num>
  <w:num w:numId="5">
    <w:abstractNumId w:val="10"/>
  </w:num>
  <w:num w:numId="6">
    <w:abstractNumId w:val="9"/>
  </w:num>
  <w:num w:numId="7">
    <w:abstractNumId w:val="6"/>
  </w:num>
  <w:num w:numId="8">
    <w:abstractNumId w:val="16"/>
  </w:num>
  <w:num w:numId="9">
    <w:abstractNumId w:val="0"/>
  </w:num>
  <w:num w:numId="10">
    <w:abstractNumId w:val="15"/>
  </w:num>
  <w:num w:numId="11">
    <w:abstractNumId w:val="1"/>
  </w:num>
  <w:num w:numId="12">
    <w:abstractNumId w:val="13"/>
  </w:num>
  <w:num w:numId="13">
    <w:abstractNumId w:val="12"/>
  </w:num>
  <w:num w:numId="14">
    <w:abstractNumId w:val="17"/>
  </w:num>
  <w:num w:numId="15">
    <w:abstractNumId w:val="4"/>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13"/>
    <w:rsid w:val="00031E4F"/>
    <w:rsid w:val="00032F65"/>
    <w:rsid w:val="00077365"/>
    <w:rsid w:val="00077DA0"/>
    <w:rsid w:val="0008530B"/>
    <w:rsid w:val="000A244A"/>
    <w:rsid w:val="000C6C7C"/>
    <w:rsid w:val="000D17A1"/>
    <w:rsid w:val="001167C3"/>
    <w:rsid w:val="001A309D"/>
    <w:rsid w:val="001D35C8"/>
    <w:rsid w:val="001D623E"/>
    <w:rsid w:val="001F511C"/>
    <w:rsid w:val="0022705A"/>
    <w:rsid w:val="00236B6F"/>
    <w:rsid w:val="00241EE8"/>
    <w:rsid w:val="00243711"/>
    <w:rsid w:val="00260F3A"/>
    <w:rsid w:val="002C6F5A"/>
    <w:rsid w:val="00303F62"/>
    <w:rsid w:val="003158D1"/>
    <w:rsid w:val="003276B3"/>
    <w:rsid w:val="00347ED3"/>
    <w:rsid w:val="00354513"/>
    <w:rsid w:val="0036061F"/>
    <w:rsid w:val="0037210D"/>
    <w:rsid w:val="00383FAE"/>
    <w:rsid w:val="003A6E7E"/>
    <w:rsid w:val="003E1B57"/>
    <w:rsid w:val="004018E9"/>
    <w:rsid w:val="00450755"/>
    <w:rsid w:val="00491982"/>
    <w:rsid w:val="004B093B"/>
    <w:rsid w:val="004D0F66"/>
    <w:rsid w:val="004F42E8"/>
    <w:rsid w:val="00550BAD"/>
    <w:rsid w:val="00554069"/>
    <w:rsid w:val="00565F3B"/>
    <w:rsid w:val="00574FDE"/>
    <w:rsid w:val="005767FD"/>
    <w:rsid w:val="00587153"/>
    <w:rsid w:val="005A6FD9"/>
    <w:rsid w:val="005E5A74"/>
    <w:rsid w:val="00604AF5"/>
    <w:rsid w:val="00621692"/>
    <w:rsid w:val="00622D6A"/>
    <w:rsid w:val="00651DAA"/>
    <w:rsid w:val="006653DB"/>
    <w:rsid w:val="006A0A71"/>
    <w:rsid w:val="006C1349"/>
    <w:rsid w:val="00715709"/>
    <w:rsid w:val="00795384"/>
    <w:rsid w:val="00796244"/>
    <w:rsid w:val="00802A9B"/>
    <w:rsid w:val="008674C6"/>
    <w:rsid w:val="00871464"/>
    <w:rsid w:val="00877EE2"/>
    <w:rsid w:val="008C6EA8"/>
    <w:rsid w:val="008F35FB"/>
    <w:rsid w:val="00926156"/>
    <w:rsid w:val="009301E0"/>
    <w:rsid w:val="00940A18"/>
    <w:rsid w:val="00952BDC"/>
    <w:rsid w:val="00996058"/>
    <w:rsid w:val="009D670C"/>
    <w:rsid w:val="00A254E3"/>
    <w:rsid w:val="00A62D4B"/>
    <w:rsid w:val="00A7004E"/>
    <w:rsid w:val="00A71B45"/>
    <w:rsid w:val="00AA6B79"/>
    <w:rsid w:val="00AE1B3B"/>
    <w:rsid w:val="00B2096C"/>
    <w:rsid w:val="00B20AB0"/>
    <w:rsid w:val="00B2110B"/>
    <w:rsid w:val="00C069E4"/>
    <w:rsid w:val="00C259C2"/>
    <w:rsid w:val="00C850BC"/>
    <w:rsid w:val="00C854D1"/>
    <w:rsid w:val="00CC1685"/>
    <w:rsid w:val="00CF06E6"/>
    <w:rsid w:val="00D37F70"/>
    <w:rsid w:val="00D5373A"/>
    <w:rsid w:val="00D545E2"/>
    <w:rsid w:val="00D65800"/>
    <w:rsid w:val="00D86A3A"/>
    <w:rsid w:val="00D9670B"/>
    <w:rsid w:val="00DE5D7B"/>
    <w:rsid w:val="00DE64A1"/>
    <w:rsid w:val="00DF15D9"/>
    <w:rsid w:val="00E81C19"/>
    <w:rsid w:val="00E91852"/>
    <w:rsid w:val="00EA1AEC"/>
    <w:rsid w:val="00EC53D6"/>
    <w:rsid w:val="00EF07F8"/>
    <w:rsid w:val="00F20C13"/>
    <w:rsid w:val="00F246D1"/>
    <w:rsid w:val="00F71429"/>
    <w:rsid w:val="00F81914"/>
    <w:rsid w:val="00FC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B5BEC"/>
  <w15:docId w15:val="{56E6ADC1-C472-384D-8D5D-4B01BBF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82"/>
  </w:style>
  <w:style w:type="paragraph" w:styleId="Heading2">
    <w:name w:val="heading 2"/>
    <w:basedOn w:val="Normal"/>
    <w:link w:val="Heading2Char"/>
    <w:uiPriority w:val="9"/>
    <w:qFormat/>
    <w:rsid w:val="00F81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13"/>
  </w:style>
  <w:style w:type="paragraph" w:styleId="Footer">
    <w:name w:val="footer"/>
    <w:basedOn w:val="Normal"/>
    <w:link w:val="FooterChar"/>
    <w:uiPriority w:val="99"/>
    <w:unhideWhenUsed/>
    <w:rsid w:val="00D545E2"/>
    <w:pPr>
      <w:tabs>
        <w:tab w:val="center" w:pos="4680"/>
        <w:tab w:val="right" w:pos="9360"/>
      </w:tabs>
      <w:spacing w:before="40" w:after="0" w:line="240" w:lineRule="auto"/>
    </w:pPr>
    <w:rPr>
      <w:sz w:val="18"/>
      <w:szCs w:val="18"/>
    </w:rPr>
  </w:style>
  <w:style w:type="character" w:customStyle="1" w:styleId="FooterChar">
    <w:name w:val="Footer Char"/>
    <w:basedOn w:val="DefaultParagraphFont"/>
    <w:link w:val="Footer"/>
    <w:uiPriority w:val="99"/>
    <w:rsid w:val="00D545E2"/>
    <w:rPr>
      <w:sz w:val="18"/>
      <w:szCs w:val="18"/>
    </w:rPr>
  </w:style>
  <w:style w:type="character" w:styleId="Hyperlink">
    <w:name w:val="Hyperlink"/>
    <w:basedOn w:val="DefaultParagraphFont"/>
    <w:uiPriority w:val="99"/>
    <w:unhideWhenUsed/>
    <w:rsid w:val="00354513"/>
    <w:rPr>
      <w:color w:val="0000FF" w:themeColor="hyperlink"/>
      <w:u w:val="single"/>
    </w:rPr>
  </w:style>
  <w:style w:type="character" w:customStyle="1" w:styleId="Heading2Char">
    <w:name w:val="Heading 2 Char"/>
    <w:basedOn w:val="DefaultParagraphFont"/>
    <w:link w:val="Heading2"/>
    <w:uiPriority w:val="9"/>
    <w:rsid w:val="00F81914"/>
    <w:rPr>
      <w:rFonts w:ascii="Times New Roman" w:eastAsiaTheme="minorEastAsia" w:hAnsi="Times New Roman" w:cs="Times New Roman"/>
      <w:b/>
      <w:bCs/>
      <w:sz w:val="36"/>
      <w:szCs w:val="36"/>
    </w:rPr>
  </w:style>
  <w:style w:type="character" w:styleId="CommentReference">
    <w:name w:val="annotation reference"/>
    <w:basedOn w:val="DefaultParagraphFont"/>
    <w:uiPriority w:val="99"/>
    <w:semiHidden/>
    <w:unhideWhenUsed/>
    <w:rsid w:val="00F81914"/>
    <w:rPr>
      <w:sz w:val="16"/>
      <w:szCs w:val="16"/>
    </w:rPr>
  </w:style>
  <w:style w:type="paragraph" w:styleId="CommentText">
    <w:name w:val="annotation text"/>
    <w:basedOn w:val="Normal"/>
    <w:link w:val="CommentTextChar"/>
    <w:uiPriority w:val="99"/>
    <w:semiHidden/>
    <w:unhideWhenUsed/>
    <w:rsid w:val="00F81914"/>
    <w:pPr>
      <w:spacing w:line="240" w:lineRule="auto"/>
    </w:pPr>
    <w:rPr>
      <w:sz w:val="20"/>
      <w:szCs w:val="20"/>
    </w:rPr>
  </w:style>
  <w:style w:type="character" w:customStyle="1" w:styleId="CommentTextChar">
    <w:name w:val="Comment Text Char"/>
    <w:basedOn w:val="DefaultParagraphFont"/>
    <w:link w:val="CommentText"/>
    <w:uiPriority w:val="99"/>
    <w:semiHidden/>
    <w:rsid w:val="00F81914"/>
    <w:rPr>
      <w:sz w:val="20"/>
      <w:szCs w:val="20"/>
    </w:rPr>
  </w:style>
  <w:style w:type="table" w:styleId="TableGrid">
    <w:name w:val="Table Grid"/>
    <w:basedOn w:val="TableNormal"/>
    <w:uiPriority w:val="59"/>
    <w:rsid w:val="00F8191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citalic3">
    <w:name w:val="gtcitalic3"/>
    <w:rsid w:val="00F81914"/>
    <w:rPr>
      <w:i/>
      <w:iCs/>
    </w:rPr>
  </w:style>
  <w:style w:type="character" w:customStyle="1" w:styleId="GTCLinkText22">
    <w:name w:val="GTC Link Text22"/>
    <w:rsid w:val="00F81914"/>
    <w:rPr>
      <w:strike w:val="0"/>
      <w:dstrike w:val="0"/>
      <w:u w:val="none"/>
      <w:effect w:val="none"/>
    </w:rPr>
  </w:style>
  <w:style w:type="paragraph" w:styleId="BalloonText">
    <w:name w:val="Balloon Text"/>
    <w:basedOn w:val="Normal"/>
    <w:link w:val="BalloonTextChar"/>
    <w:uiPriority w:val="99"/>
    <w:semiHidden/>
    <w:unhideWhenUsed/>
    <w:rsid w:val="00F8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14"/>
    <w:rPr>
      <w:rFonts w:ascii="Tahoma" w:hAnsi="Tahoma" w:cs="Tahoma"/>
      <w:sz w:val="16"/>
      <w:szCs w:val="16"/>
    </w:rPr>
  </w:style>
  <w:style w:type="paragraph" w:styleId="ListParagraph">
    <w:name w:val="List Paragraph"/>
    <w:basedOn w:val="Normal"/>
    <w:uiPriority w:val="34"/>
    <w:qFormat/>
    <w:rsid w:val="00F20C13"/>
    <w:pPr>
      <w:ind w:left="720"/>
      <w:contextualSpacing/>
    </w:pPr>
  </w:style>
  <w:style w:type="paragraph" w:styleId="CommentSubject">
    <w:name w:val="annotation subject"/>
    <w:basedOn w:val="CommentText"/>
    <w:next w:val="CommentText"/>
    <w:link w:val="CommentSubjectChar"/>
    <w:uiPriority w:val="99"/>
    <w:semiHidden/>
    <w:unhideWhenUsed/>
    <w:rsid w:val="00715709"/>
    <w:rPr>
      <w:b/>
      <w:bCs/>
    </w:rPr>
  </w:style>
  <w:style w:type="character" w:customStyle="1" w:styleId="CommentSubjectChar">
    <w:name w:val="Comment Subject Char"/>
    <w:basedOn w:val="CommentTextChar"/>
    <w:link w:val="CommentSubject"/>
    <w:uiPriority w:val="99"/>
    <w:semiHidden/>
    <w:rsid w:val="00715709"/>
    <w:rPr>
      <w:b/>
      <w:bCs/>
      <w:sz w:val="20"/>
      <w:szCs w:val="20"/>
    </w:rPr>
  </w:style>
  <w:style w:type="paragraph" w:styleId="NormalWeb">
    <w:name w:val="Normal (Web)"/>
    <w:basedOn w:val="Normal"/>
    <w:uiPriority w:val="99"/>
    <w:semiHidden/>
    <w:unhideWhenUsed/>
    <w:rsid w:val="003276B3"/>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F42E8"/>
  </w:style>
  <w:style w:type="paragraph" w:customStyle="1" w:styleId="BasicParagraph">
    <w:name w:val="[Basic Paragraph]"/>
    <w:basedOn w:val="Normal"/>
    <w:uiPriority w:val="99"/>
    <w:rsid w:val="004D0F6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SIsubhead">
    <w:name w:val="ISI subhead"/>
    <w:basedOn w:val="Normal"/>
    <w:uiPriority w:val="99"/>
    <w:rsid w:val="004D0F66"/>
    <w:pPr>
      <w:tabs>
        <w:tab w:val="left" w:pos="5340"/>
      </w:tabs>
      <w:autoSpaceDE w:val="0"/>
      <w:autoSpaceDN w:val="0"/>
      <w:adjustRightInd w:val="0"/>
      <w:spacing w:after="47" w:line="240" w:lineRule="atLeast"/>
      <w:textAlignment w:val="center"/>
    </w:pPr>
    <w:rPr>
      <w:rFonts w:ascii="Gotham Bold" w:hAnsi="Gotham Bold" w:cs="Gotham Bold"/>
      <w:b/>
      <w:bCs/>
      <w:color w:val="000000"/>
      <w:sz w:val="20"/>
      <w:szCs w:val="20"/>
    </w:rPr>
  </w:style>
  <w:style w:type="paragraph" w:customStyle="1" w:styleId="ISIBody">
    <w:name w:val="ISI Body"/>
    <w:basedOn w:val="Normal"/>
    <w:uiPriority w:val="99"/>
    <w:rsid w:val="004D0F66"/>
    <w:pPr>
      <w:suppressAutoHyphens/>
      <w:autoSpaceDE w:val="0"/>
      <w:autoSpaceDN w:val="0"/>
      <w:adjustRightInd w:val="0"/>
      <w:spacing w:after="90" w:line="288" w:lineRule="auto"/>
      <w:textAlignment w:val="center"/>
    </w:pPr>
    <w:rPr>
      <w:rFonts w:ascii="Gotham Book" w:hAnsi="Gotham Book" w:cs="Gotham Book"/>
      <w:color w:val="000000"/>
      <w:sz w:val="20"/>
      <w:szCs w:val="20"/>
    </w:rPr>
  </w:style>
  <w:style w:type="paragraph" w:customStyle="1" w:styleId="IsiBullet">
    <w:name w:val="Isi Bullet"/>
    <w:basedOn w:val="ISIBody"/>
    <w:uiPriority w:val="99"/>
    <w:rsid w:val="004D0F66"/>
    <w:pPr>
      <w:tabs>
        <w:tab w:val="left" w:pos="560"/>
      </w:tabs>
      <w:ind w:left="36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45672">
      <w:bodyDiv w:val="1"/>
      <w:marLeft w:val="0"/>
      <w:marRight w:val="0"/>
      <w:marTop w:val="0"/>
      <w:marBottom w:val="0"/>
      <w:divBdr>
        <w:top w:val="none" w:sz="0" w:space="0" w:color="auto"/>
        <w:left w:val="none" w:sz="0" w:space="0" w:color="auto"/>
        <w:bottom w:val="none" w:sz="0" w:space="0" w:color="auto"/>
        <w:right w:val="none" w:sz="0" w:space="0" w:color="auto"/>
      </w:divBdr>
    </w:div>
    <w:div w:id="926572121">
      <w:bodyDiv w:val="1"/>
      <w:marLeft w:val="0"/>
      <w:marRight w:val="0"/>
      <w:marTop w:val="0"/>
      <w:marBottom w:val="0"/>
      <w:divBdr>
        <w:top w:val="none" w:sz="0" w:space="0" w:color="auto"/>
        <w:left w:val="none" w:sz="0" w:space="0" w:color="auto"/>
        <w:bottom w:val="none" w:sz="0" w:space="0" w:color="auto"/>
        <w:right w:val="none" w:sz="0" w:space="0" w:color="auto"/>
      </w:divBdr>
      <w:divsChild>
        <w:div w:id="319963272">
          <w:marLeft w:val="0"/>
          <w:marRight w:val="0"/>
          <w:marTop w:val="0"/>
          <w:marBottom w:val="0"/>
          <w:divBdr>
            <w:top w:val="none" w:sz="0" w:space="0" w:color="auto"/>
            <w:left w:val="none" w:sz="0" w:space="0" w:color="auto"/>
            <w:bottom w:val="none" w:sz="0" w:space="0" w:color="auto"/>
            <w:right w:val="none" w:sz="0" w:space="0" w:color="auto"/>
          </w:divBdr>
          <w:divsChild>
            <w:div w:id="904414797">
              <w:marLeft w:val="0"/>
              <w:marRight w:val="0"/>
              <w:marTop w:val="0"/>
              <w:marBottom w:val="0"/>
              <w:divBdr>
                <w:top w:val="none" w:sz="0" w:space="0" w:color="auto"/>
                <w:left w:val="none" w:sz="0" w:space="0" w:color="auto"/>
                <w:bottom w:val="none" w:sz="0" w:space="0" w:color="auto"/>
                <w:right w:val="none" w:sz="0" w:space="0" w:color="auto"/>
              </w:divBdr>
              <w:divsChild>
                <w:div w:id="1754813407">
                  <w:marLeft w:val="0"/>
                  <w:marRight w:val="0"/>
                  <w:marTop w:val="0"/>
                  <w:marBottom w:val="0"/>
                  <w:divBdr>
                    <w:top w:val="none" w:sz="0" w:space="0" w:color="auto"/>
                    <w:left w:val="none" w:sz="0" w:space="0" w:color="auto"/>
                    <w:bottom w:val="none" w:sz="0" w:space="0" w:color="auto"/>
                    <w:right w:val="none" w:sz="0" w:space="0" w:color="auto"/>
                  </w:divBdr>
                  <w:divsChild>
                    <w:div w:id="1344358578">
                      <w:marLeft w:val="0"/>
                      <w:marRight w:val="0"/>
                      <w:marTop w:val="0"/>
                      <w:marBottom w:val="0"/>
                      <w:divBdr>
                        <w:top w:val="none" w:sz="0" w:space="0" w:color="auto"/>
                        <w:left w:val="none" w:sz="0" w:space="0" w:color="auto"/>
                        <w:bottom w:val="none" w:sz="0" w:space="0" w:color="auto"/>
                        <w:right w:val="none" w:sz="0" w:space="0" w:color="auto"/>
                      </w:divBdr>
                      <w:divsChild>
                        <w:div w:id="582422951">
                          <w:marLeft w:val="0"/>
                          <w:marRight w:val="0"/>
                          <w:marTop w:val="0"/>
                          <w:marBottom w:val="0"/>
                          <w:divBdr>
                            <w:top w:val="none" w:sz="0" w:space="0" w:color="auto"/>
                            <w:left w:val="none" w:sz="0" w:space="0" w:color="auto"/>
                            <w:bottom w:val="none" w:sz="0" w:space="0" w:color="auto"/>
                            <w:right w:val="none" w:sz="0" w:space="0" w:color="auto"/>
                          </w:divBdr>
                          <w:divsChild>
                            <w:div w:id="1903637131">
                              <w:marLeft w:val="0"/>
                              <w:marRight w:val="0"/>
                              <w:marTop w:val="0"/>
                              <w:marBottom w:val="0"/>
                              <w:divBdr>
                                <w:top w:val="none" w:sz="0" w:space="0" w:color="auto"/>
                                <w:left w:val="none" w:sz="0" w:space="0" w:color="auto"/>
                                <w:bottom w:val="none" w:sz="0" w:space="0" w:color="auto"/>
                                <w:right w:val="none" w:sz="0" w:space="0" w:color="auto"/>
                              </w:divBdr>
                              <w:divsChild>
                                <w:div w:id="973755441">
                                  <w:marLeft w:val="0"/>
                                  <w:marRight w:val="0"/>
                                  <w:marTop w:val="0"/>
                                  <w:marBottom w:val="0"/>
                                  <w:divBdr>
                                    <w:top w:val="none" w:sz="0" w:space="0" w:color="auto"/>
                                    <w:left w:val="none" w:sz="0" w:space="0" w:color="auto"/>
                                    <w:bottom w:val="none" w:sz="0" w:space="0" w:color="auto"/>
                                    <w:right w:val="none" w:sz="0" w:space="0" w:color="auto"/>
                                  </w:divBdr>
                                  <w:divsChild>
                                    <w:div w:id="740056038">
                                      <w:marLeft w:val="0"/>
                                      <w:marRight w:val="0"/>
                                      <w:marTop w:val="0"/>
                                      <w:marBottom w:val="0"/>
                                      <w:divBdr>
                                        <w:top w:val="none" w:sz="0" w:space="0" w:color="auto"/>
                                        <w:left w:val="none" w:sz="0" w:space="0" w:color="auto"/>
                                        <w:bottom w:val="none" w:sz="0" w:space="0" w:color="auto"/>
                                        <w:right w:val="none" w:sz="0" w:space="0" w:color="auto"/>
                                      </w:divBdr>
                                      <w:divsChild>
                                        <w:div w:id="1520923213">
                                          <w:marLeft w:val="0"/>
                                          <w:marRight w:val="0"/>
                                          <w:marTop w:val="0"/>
                                          <w:marBottom w:val="0"/>
                                          <w:divBdr>
                                            <w:top w:val="none" w:sz="0" w:space="0" w:color="auto"/>
                                            <w:left w:val="none" w:sz="0" w:space="0" w:color="auto"/>
                                            <w:bottom w:val="none" w:sz="0" w:space="0" w:color="auto"/>
                                            <w:right w:val="none" w:sz="0" w:space="0" w:color="auto"/>
                                          </w:divBdr>
                                          <w:divsChild>
                                            <w:div w:id="1793816310">
                                              <w:marLeft w:val="-105"/>
                                              <w:marRight w:val="-120"/>
                                              <w:marTop w:val="0"/>
                                              <w:marBottom w:val="0"/>
                                              <w:divBdr>
                                                <w:top w:val="none" w:sz="0" w:space="0" w:color="auto"/>
                                                <w:left w:val="none" w:sz="0" w:space="0" w:color="auto"/>
                                                <w:bottom w:val="none" w:sz="0" w:space="0" w:color="auto"/>
                                                <w:right w:val="none" w:sz="0" w:space="0" w:color="auto"/>
                                              </w:divBdr>
                                              <w:divsChild>
                                                <w:div w:id="196354280">
                                                  <w:marLeft w:val="0"/>
                                                  <w:marRight w:val="0"/>
                                                  <w:marTop w:val="0"/>
                                                  <w:marBottom w:val="0"/>
                                                  <w:divBdr>
                                                    <w:top w:val="none" w:sz="0" w:space="0" w:color="auto"/>
                                                    <w:left w:val="none" w:sz="0" w:space="0" w:color="auto"/>
                                                    <w:bottom w:val="none" w:sz="0" w:space="0" w:color="auto"/>
                                                    <w:right w:val="none" w:sz="0" w:space="0" w:color="auto"/>
                                                  </w:divBdr>
                                                  <w:divsChild>
                                                    <w:div w:id="1301695110">
                                                      <w:marLeft w:val="0"/>
                                                      <w:marRight w:val="0"/>
                                                      <w:marTop w:val="0"/>
                                                      <w:marBottom w:val="0"/>
                                                      <w:divBdr>
                                                        <w:top w:val="none" w:sz="0" w:space="0" w:color="auto"/>
                                                        <w:left w:val="none" w:sz="0" w:space="0" w:color="auto"/>
                                                        <w:bottom w:val="none" w:sz="0" w:space="0" w:color="auto"/>
                                                        <w:right w:val="none" w:sz="0" w:space="0" w:color="auto"/>
                                                      </w:divBdr>
                                                      <w:divsChild>
                                                        <w:div w:id="2082673410">
                                                          <w:marLeft w:val="0"/>
                                                          <w:marRight w:val="0"/>
                                                          <w:marTop w:val="0"/>
                                                          <w:marBottom w:val="0"/>
                                                          <w:divBdr>
                                                            <w:top w:val="none" w:sz="0" w:space="0" w:color="auto"/>
                                                            <w:left w:val="none" w:sz="0" w:space="0" w:color="auto"/>
                                                            <w:bottom w:val="none" w:sz="0" w:space="0" w:color="auto"/>
                                                            <w:right w:val="none" w:sz="0" w:space="0" w:color="auto"/>
                                                          </w:divBdr>
                                                          <w:divsChild>
                                                            <w:div w:id="1933665801">
                                                              <w:marLeft w:val="0"/>
                                                              <w:marRight w:val="0"/>
                                                              <w:marTop w:val="0"/>
                                                              <w:marBottom w:val="0"/>
                                                              <w:divBdr>
                                                                <w:top w:val="none" w:sz="0" w:space="0" w:color="auto"/>
                                                                <w:left w:val="none" w:sz="0" w:space="0" w:color="auto"/>
                                                                <w:bottom w:val="none" w:sz="0" w:space="0" w:color="auto"/>
                                                                <w:right w:val="none" w:sz="0" w:space="0" w:color="auto"/>
                                                              </w:divBdr>
                                                            </w:div>
                                                            <w:div w:id="406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4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bviemedinf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bviemedinfo.com" TargetMode="External"/><Relationship Id="rId4" Type="http://schemas.openxmlformats.org/officeDocument/2006/relationships/settings" Target="settings.xml"/><Relationship Id="rId9" Type="http://schemas.openxmlformats.org/officeDocument/2006/relationships/hyperlink" Target="http://www.abbviemedinf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xabbvie.com/pdf/lupronpediatric.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xabbvie.com/pdf/lupronpediat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491F-34F5-4EA4-861D-FCC4383D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 Jamie B</dc:creator>
  <cp:lastModifiedBy>Allan, Jeffrey</cp:lastModifiedBy>
  <cp:revision>2</cp:revision>
  <cp:lastPrinted>2021-05-20T12:56:00Z</cp:lastPrinted>
  <dcterms:created xsi:type="dcterms:W3CDTF">2021-08-18T16:34:00Z</dcterms:created>
  <dcterms:modified xsi:type="dcterms:W3CDTF">2021-08-18T16:34:00Z</dcterms:modified>
</cp:coreProperties>
</file>